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73D" w:rsidRPr="00A15EA2" w:rsidRDefault="0023673D" w:rsidP="00A15EA2">
      <w:pPr>
        <w:jc w:val="center"/>
        <w:rPr>
          <w:rFonts w:ascii="Blackadder ITC" w:hAnsi="Blackadder ITC"/>
          <w:b/>
          <w:sz w:val="44"/>
          <w:szCs w:val="44"/>
        </w:rPr>
      </w:pPr>
      <w:r w:rsidRPr="00DF3EA4">
        <w:rPr>
          <w:rFonts w:ascii="Blackadder ITC" w:hAnsi="Blackadder ITC"/>
          <w:b/>
          <w:sz w:val="44"/>
          <w:szCs w:val="44"/>
        </w:rPr>
        <w:t>Unsere Weinempfehlung</w:t>
      </w:r>
      <w:r>
        <w:rPr>
          <w:noProof/>
          <w:lang w:eastAsia="de-DE"/>
        </w:rPr>
        <w:drawing>
          <wp:anchor distT="0" distB="0" distL="114300" distR="114300" simplePos="0" relativeHeight="251658240" behindDoc="1" locked="0" layoutInCell="1" allowOverlap="1" wp14:anchorId="032350E6" wp14:editId="7CE335B5">
            <wp:simplePos x="0" y="0"/>
            <wp:positionH relativeFrom="column">
              <wp:posOffset>1036581</wp:posOffset>
            </wp:positionH>
            <wp:positionV relativeFrom="paragraph">
              <wp:posOffset>181311</wp:posOffset>
            </wp:positionV>
            <wp:extent cx="3689873" cy="3281083"/>
            <wp:effectExtent l="0" t="0" r="6350" b="0"/>
            <wp:wrapNone/>
            <wp:docPr id="2" name="Bild 9" descr="http://www.weingut-urban-bauer.de/img/wein-bt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weingut-urban-bauer.de/img/wein-btn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0000" cy="328119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72CF" w:rsidRDefault="003772CF" w:rsidP="003772CF">
      <w:pPr>
        <w:rPr>
          <w:rFonts w:ascii="Blackadder ITC" w:hAnsi="Blackadder ITC"/>
          <w:noProof/>
          <w:sz w:val="36"/>
          <w:szCs w:val="36"/>
          <w:lang w:eastAsia="de-DE"/>
        </w:rPr>
      </w:pPr>
      <w:r>
        <w:rPr>
          <w:rFonts w:ascii="Blackadder ITC" w:hAnsi="Blackadder ITC"/>
          <w:noProof/>
          <w:sz w:val="36"/>
          <w:szCs w:val="36"/>
          <w:lang w:eastAsia="de-DE"/>
        </w:rPr>
        <w:t xml:space="preserve">               </w:t>
      </w:r>
    </w:p>
    <w:p w:rsidR="00503074" w:rsidRPr="00D72876" w:rsidRDefault="003772CF" w:rsidP="003772CF">
      <w:pPr>
        <w:rPr>
          <w:rFonts w:ascii="Blackadder ITC" w:hAnsi="Blackadder ITC"/>
          <w:noProof/>
          <w:sz w:val="36"/>
          <w:szCs w:val="36"/>
          <w:lang w:eastAsia="de-DE"/>
        </w:rPr>
      </w:pPr>
      <w:r>
        <w:rPr>
          <w:rFonts w:ascii="Blackadder ITC" w:hAnsi="Blackadder ITC"/>
          <w:noProof/>
          <w:sz w:val="36"/>
          <w:szCs w:val="36"/>
          <w:lang w:eastAsia="de-DE"/>
        </w:rPr>
        <w:t xml:space="preserve">                                                                        </w:t>
      </w:r>
      <w:r w:rsidR="00503074" w:rsidRPr="00FA39D6">
        <w:rPr>
          <w:rFonts w:ascii="Blackadder ITC" w:hAnsi="Blackadder ITC"/>
          <w:i/>
          <w:noProof/>
          <w:sz w:val="36"/>
          <w:szCs w:val="36"/>
          <w:lang w:eastAsia="de-DE"/>
        </w:rPr>
        <w:t xml:space="preserve">Wein </w:t>
      </w:r>
      <w:r w:rsidR="00A710F8">
        <w:rPr>
          <w:rFonts w:ascii="Blackadder ITC" w:hAnsi="Blackadder ITC"/>
          <w:i/>
          <w:noProof/>
          <w:sz w:val="36"/>
          <w:szCs w:val="36"/>
          <w:lang w:eastAsia="de-DE"/>
        </w:rPr>
        <w:t xml:space="preserve"> </w:t>
      </w:r>
      <w:r w:rsidR="00503074" w:rsidRPr="00FA39D6">
        <w:rPr>
          <w:rFonts w:ascii="Blackadder ITC" w:hAnsi="Blackadder ITC"/>
          <w:i/>
          <w:noProof/>
          <w:sz w:val="36"/>
          <w:szCs w:val="36"/>
          <w:lang w:eastAsia="de-DE"/>
        </w:rPr>
        <w:t xml:space="preserve">ist Poesie </w:t>
      </w:r>
    </w:p>
    <w:p w:rsidR="00503074" w:rsidRDefault="00503074" w:rsidP="0023673D">
      <w:pPr>
        <w:jc w:val="center"/>
        <w:rPr>
          <w:rFonts w:ascii="Blackadder ITC" w:hAnsi="Blackadder ITC"/>
          <w:i/>
          <w:noProof/>
          <w:sz w:val="36"/>
          <w:szCs w:val="36"/>
          <w:lang w:eastAsia="de-DE"/>
        </w:rPr>
      </w:pPr>
      <w:r w:rsidRPr="00FA39D6">
        <w:rPr>
          <w:rFonts w:ascii="Blackadder ITC" w:hAnsi="Blackadder ITC"/>
          <w:i/>
          <w:noProof/>
          <w:sz w:val="36"/>
          <w:szCs w:val="36"/>
          <w:lang w:eastAsia="de-DE"/>
        </w:rPr>
        <w:t xml:space="preserve">  </w:t>
      </w:r>
      <w:r w:rsidR="002E2BCA">
        <w:rPr>
          <w:rFonts w:ascii="Blackadder ITC" w:hAnsi="Blackadder ITC"/>
          <w:i/>
          <w:noProof/>
          <w:sz w:val="36"/>
          <w:szCs w:val="36"/>
          <w:lang w:eastAsia="de-DE"/>
        </w:rPr>
        <w:t xml:space="preserve"> </w:t>
      </w:r>
      <w:r w:rsidRPr="00FA39D6">
        <w:rPr>
          <w:rFonts w:ascii="Blackadder ITC" w:hAnsi="Blackadder ITC"/>
          <w:i/>
          <w:noProof/>
          <w:sz w:val="36"/>
          <w:szCs w:val="36"/>
          <w:lang w:eastAsia="de-DE"/>
        </w:rPr>
        <w:t xml:space="preserve">                      </w:t>
      </w:r>
      <w:r w:rsidR="00D72876">
        <w:rPr>
          <w:rFonts w:ascii="Blackadder ITC" w:hAnsi="Blackadder ITC"/>
          <w:i/>
          <w:noProof/>
          <w:sz w:val="36"/>
          <w:szCs w:val="36"/>
          <w:lang w:eastAsia="de-DE"/>
        </w:rPr>
        <w:t xml:space="preserve">                       </w:t>
      </w:r>
      <w:r w:rsidR="00B20FCE">
        <w:rPr>
          <w:rFonts w:ascii="Blackadder ITC" w:hAnsi="Blackadder ITC"/>
          <w:i/>
          <w:noProof/>
          <w:sz w:val="36"/>
          <w:szCs w:val="36"/>
          <w:lang w:eastAsia="de-DE"/>
        </w:rPr>
        <w:t xml:space="preserve">   </w:t>
      </w:r>
      <w:r w:rsidRPr="00FA39D6">
        <w:rPr>
          <w:rFonts w:ascii="Blackadder ITC" w:hAnsi="Blackadder ITC"/>
          <w:i/>
          <w:noProof/>
          <w:sz w:val="36"/>
          <w:szCs w:val="36"/>
          <w:lang w:eastAsia="de-DE"/>
        </w:rPr>
        <w:t>in Flaschen</w:t>
      </w:r>
    </w:p>
    <w:p w:rsidR="002E2BCA" w:rsidRDefault="002E2BCA" w:rsidP="0023673D">
      <w:pPr>
        <w:jc w:val="center"/>
        <w:rPr>
          <w:rFonts w:ascii="Blackadder ITC" w:hAnsi="Blackadder ITC"/>
          <w:i/>
          <w:noProof/>
          <w:sz w:val="36"/>
          <w:szCs w:val="36"/>
          <w:lang w:eastAsia="de-DE"/>
        </w:rPr>
      </w:pPr>
    </w:p>
    <w:p w:rsidR="002E2BCA" w:rsidRDefault="002E2BCA" w:rsidP="0023673D">
      <w:pPr>
        <w:jc w:val="center"/>
        <w:rPr>
          <w:rFonts w:ascii="Blackadder ITC" w:hAnsi="Blackadder ITC"/>
          <w:i/>
          <w:noProof/>
          <w:sz w:val="36"/>
          <w:szCs w:val="36"/>
          <w:lang w:eastAsia="de-DE"/>
        </w:rPr>
      </w:pPr>
    </w:p>
    <w:p w:rsidR="000B4FAA" w:rsidRDefault="000B4FAA" w:rsidP="0023673D">
      <w:pPr>
        <w:jc w:val="center"/>
        <w:rPr>
          <w:rFonts w:ascii="Blackadder ITC" w:hAnsi="Blackadder ITC"/>
          <w:i/>
          <w:noProof/>
          <w:sz w:val="36"/>
          <w:szCs w:val="36"/>
          <w:lang w:eastAsia="de-DE"/>
        </w:rPr>
      </w:pPr>
    </w:p>
    <w:p w:rsidR="00C4691C" w:rsidRDefault="00C4691C" w:rsidP="00021AF6">
      <w:pPr>
        <w:spacing w:line="240" w:lineRule="auto"/>
        <w:rPr>
          <w:rFonts w:ascii="Blackadder ITC" w:hAnsi="Blackadder ITC"/>
          <w:i/>
          <w:noProof/>
          <w:sz w:val="36"/>
          <w:szCs w:val="36"/>
          <w:lang w:eastAsia="de-DE"/>
        </w:rPr>
      </w:pPr>
    </w:p>
    <w:p w:rsidR="00B20FCE" w:rsidRDefault="00B20FCE" w:rsidP="00256406">
      <w:pPr>
        <w:spacing w:line="240" w:lineRule="auto"/>
        <w:jc w:val="both"/>
        <w:rPr>
          <w:rFonts w:ascii="Andalus" w:hAnsi="Andalus" w:cs="Andalus"/>
          <w:b/>
          <w:i/>
          <w:noProof/>
          <w:sz w:val="28"/>
          <w:szCs w:val="28"/>
          <w:lang w:eastAsia="de-DE"/>
        </w:rPr>
      </w:pPr>
    </w:p>
    <w:p w:rsidR="00717F7F" w:rsidRPr="00787B09" w:rsidRDefault="000B06BF" w:rsidP="00256406">
      <w:pPr>
        <w:spacing w:line="240" w:lineRule="auto"/>
        <w:jc w:val="both"/>
        <w:rPr>
          <w:rFonts w:ascii="Andalus" w:hAnsi="Andalus" w:cs="Andalus"/>
          <w:b/>
          <w:i/>
          <w:noProof/>
          <w:sz w:val="28"/>
          <w:szCs w:val="28"/>
          <w:lang w:eastAsia="de-DE"/>
        </w:rPr>
      </w:pPr>
      <w:r>
        <w:rPr>
          <w:rFonts w:ascii="Andalus" w:hAnsi="Andalus" w:cs="Andalus"/>
          <w:b/>
          <w:i/>
          <w:noProof/>
          <w:sz w:val="28"/>
          <w:szCs w:val="28"/>
          <w:lang w:eastAsia="de-DE"/>
        </w:rPr>
        <w:t>Sauvignon Blanc</w:t>
      </w:r>
      <w:r w:rsidR="008B1AFB">
        <w:rPr>
          <w:rFonts w:ascii="Andalus" w:hAnsi="Andalus" w:cs="Andalus"/>
          <w:b/>
          <w:i/>
          <w:noProof/>
          <w:sz w:val="28"/>
          <w:szCs w:val="28"/>
          <w:lang w:eastAsia="de-DE"/>
        </w:rPr>
        <w:t>,</w:t>
      </w:r>
      <w:r w:rsidR="00433161">
        <w:rPr>
          <w:rFonts w:ascii="Andalus" w:hAnsi="Andalus" w:cs="Andalus"/>
          <w:b/>
          <w:i/>
          <w:noProof/>
          <w:sz w:val="28"/>
          <w:szCs w:val="28"/>
          <w:lang w:eastAsia="de-DE"/>
        </w:rPr>
        <w:t xml:space="preserve"> </w:t>
      </w:r>
      <w:r>
        <w:rPr>
          <w:rFonts w:ascii="Andalus" w:hAnsi="Andalus" w:cs="Andalus"/>
          <w:b/>
          <w:i/>
          <w:noProof/>
          <w:sz w:val="28"/>
          <w:szCs w:val="28"/>
          <w:lang w:eastAsia="de-DE"/>
        </w:rPr>
        <w:t>Weingut Bender</w:t>
      </w:r>
      <w:r w:rsidR="00433161">
        <w:rPr>
          <w:rFonts w:ascii="Andalus" w:hAnsi="Andalus" w:cs="Andalus"/>
          <w:b/>
          <w:i/>
          <w:noProof/>
          <w:sz w:val="28"/>
          <w:szCs w:val="28"/>
          <w:lang w:eastAsia="de-DE"/>
        </w:rPr>
        <w:t xml:space="preserve">, </w:t>
      </w:r>
      <w:r w:rsidR="00ED1513">
        <w:rPr>
          <w:rFonts w:ascii="Andalus" w:hAnsi="Andalus" w:cs="Andalus"/>
          <w:b/>
          <w:i/>
          <w:noProof/>
          <w:sz w:val="28"/>
          <w:szCs w:val="28"/>
          <w:lang w:eastAsia="de-DE"/>
        </w:rPr>
        <w:t>Pflaz</w:t>
      </w:r>
    </w:p>
    <w:p w:rsidR="00021AF6" w:rsidRPr="004D0CC6" w:rsidRDefault="00ED1513" w:rsidP="00256406">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 xml:space="preserve">Ein </w:t>
      </w:r>
      <w:r w:rsidRPr="006F7B73">
        <w:rPr>
          <w:rFonts w:ascii="Andalus" w:hAnsi="Andalus" w:cs="Andalus"/>
          <w:i/>
          <w:noProof/>
          <w:sz w:val="28"/>
          <w:szCs w:val="28"/>
          <w:lang w:eastAsia="de-DE"/>
        </w:rPr>
        <w:t>frischer duftiger Sauvignon Blanc mit intensiven Aromen tropischer Früchte und zarten Zitrusnoten, am Gaumen schöne Balance von lebendiger Säure und guter Struktur.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8F5B19" w:rsidTr="00153A50">
        <w:tc>
          <w:tcPr>
            <w:tcW w:w="3070" w:type="dxa"/>
          </w:tcPr>
          <w:p w:rsidR="008F5B19" w:rsidRDefault="000B06BF" w:rsidP="00FF26E1">
            <w:pPr>
              <w:jc w:val="center"/>
              <w:rPr>
                <w:rFonts w:ascii="Andalus" w:hAnsi="Andalus" w:cs="Andalus"/>
                <w:i/>
                <w:noProof/>
                <w:sz w:val="28"/>
                <w:szCs w:val="28"/>
                <w:lang w:eastAsia="de-DE"/>
              </w:rPr>
            </w:pPr>
            <w:r>
              <w:rPr>
                <w:rFonts w:ascii="Andalus" w:hAnsi="Andalus" w:cs="Andalus"/>
                <w:i/>
                <w:noProof/>
                <w:sz w:val="28"/>
                <w:szCs w:val="28"/>
                <w:lang w:eastAsia="de-DE"/>
              </w:rPr>
              <w:t>5</w:t>
            </w:r>
            <w:r w:rsidR="0004416C">
              <w:rPr>
                <w:rFonts w:ascii="Andalus" w:hAnsi="Andalus" w:cs="Andalus"/>
                <w:i/>
                <w:noProof/>
                <w:sz w:val="28"/>
                <w:szCs w:val="28"/>
                <w:lang w:eastAsia="de-DE"/>
              </w:rPr>
              <w:t>,</w:t>
            </w:r>
            <w:r>
              <w:rPr>
                <w:rFonts w:ascii="Andalus" w:hAnsi="Andalus" w:cs="Andalus"/>
                <w:i/>
                <w:noProof/>
                <w:sz w:val="28"/>
                <w:szCs w:val="28"/>
                <w:lang w:eastAsia="de-DE"/>
              </w:rPr>
              <w:t>60</w:t>
            </w:r>
            <w:r w:rsidR="00AF3405">
              <w:rPr>
                <w:rFonts w:ascii="Andalus" w:hAnsi="Andalus" w:cs="Andalus"/>
                <w:i/>
                <w:noProof/>
                <w:sz w:val="28"/>
                <w:szCs w:val="28"/>
                <w:lang w:eastAsia="de-DE"/>
              </w:rPr>
              <w:t xml:space="preserve"> </w:t>
            </w:r>
            <w:r w:rsidR="008F5B19">
              <w:rPr>
                <w:rFonts w:ascii="Andalus" w:hAnsi="Andalus" w:cs="Andalus"/>
                <w:i/>
                <w:noProof/>
                <w:sz w:val="28"/>
                <w:szCs w:val="28"/>
                <w:lang w:eastAsia="de-DE"/>
              </w:rPr>
              <w:t>€</w:t>
            </w:r>
          </w:p>
        </w:tc>
        <w:tc>
          <w:tcPr>
            <w:tcW w:w="3071" w:type="dxa"/>
          </w:tcPr>
          <w:p w:rsidR="008F5B19" w:rsidRDefault="000B06BF" w:rsidP="00FF26E1">
            <w:pPr>
              <w:jc w:val="center"/>
              <w:rPr>
                <w:rFonts w:ascii="Andalus" w:hAnsi="Andalus" w:cs="Andalus"/>
                <w:i/>
                <w:noProof/>
                <w:sz w:val="28"/>
                <w:szCs w:val="28"/>
                <w:lang w:eastAsia="de-DE"/>
              </w:rPr>
            </w:pPr>
            <w:r>
              <w:rPr>
                <w:rFonts w:ascii="Andalus" w:hAnsi="Andalus" w:cs="Andalus"/>
                <w:i/>
                <w:noProof/>
                <w:sz w:val="28"/>
                <w:szCs w:val="28"/>
                <w:lang w:eastAsia="de-DE"/>
              </w:rPr>
              <w:t>20</w:t>
            </w:r>
            <w:r w:rsidR="0004416C">
              <w:rPr>
                <w:rFonts w:ascii="Andalus" w:hAnsi="Andalus" w:cs="Andalus"/>
                <w:i/>
                <w:noProof/>
                <w:sz w:val="28"/>
                <w:szCs w:val="28"/>
                <w:lang w:eastAsia="de-DE"/>
              </w:rPr>
              <w:t>,50</w:t>
            </w:r>
            <w:r w:rsidR="004B0585">
              <w:rPr>
                <w:rFonts w:ascii="Andalus" w:hAnsi="Andalus" w:cs="Andalus"/>
                <w:i/>
                <w:noProof/>
                <w:sz w:val="28"/>
                <w:szCs w:val="28"/>
                <w:lang w:eastAsia="de-DE"/>
              </w:rPr>
              <w:t xml:space="preserve"> </w:t>
            </w:r>
            <w:r w:rsidR="008F5B19">
              <w:rPr>
                <w:rFonts w:ascii="Andalus" w:hAnsi="Andalus" w:cs="Andalus"/>
                <w:i/>
                <w:noProof/>
                <w:sz w:val="28"/>
                <w:szCs w:val="28"/>
                <w:lang w:eastAsia="de-DE"/>
              </w:rPr>
              <w:t>€</w:t>
            </w:r>
          </w:p>
        </w:tc>
        <w:tc>
          <w:tcPr>
            <w:tcW w:w="3071" w:type="dxa"/>
          </w:tcPr>
          <w:p w:rsidR="008F5B19" w:rsidRPr="00EA7D75" w:rsidRDefault="000B06BF" w:rsidP="00856691">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9</w:t>
            </w:r>
            <w:r w:rsidR="0004416C">
              <w:rPr>
                <w:rFonts w:ascii="Andalus" w:hAnsi="Andalus" w:cs="Andalus"/>
                <w:i/>
                <w:noProof/>
                <w:sz w:val="28"/>
                <w:szCs w:val="28"/>
                <w:lang w:eastAsia="de-DE"/>
              </w:rPr>
              <w:t>,0</w:t>
            </w:r>
            <w:r w:rsidR="00F80318">
              <w:rPr>
                <w:rFonts w:ascii="Andalus" w:hAnsi="Andalus" w:cs="Andalus"/>
                <w:i/>
                <w:noProof/>
                <w:sz w:val="28"/>
                <w:szCs w:val="28"/>
                <w:lang w:eastAsia="de-DE"/>
              </w:rPr>
              <w:t>0</w:t>
            </w:r>
            <w:r w:rsidR="004B0585">
              <w:rPr>
                <w:rFonts w:ascii="Andalus" w:hAnsi="Andalus" w:cs="Andalus"/>
                <w:i/>
                <w:noProof/>
                <w:sz w:val="28"/>
                <w:szCs w:val="28"/>
                <w:lang w:eastAsia="de-DE"/>
              </w:rPr>
              <w:t xml:space="preserve"> </w:t>
            </w:r>
            <w:r w:rsidR="008F5B19">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32441C" w:rsidRDefault="0032441C" w:rsidP="00E8451C">
      <w:pPr>
        <w:spacing w:line="240" w:lineRule="auto"/>
        <w:rPr>
          <w:rFonts w:ascii="Andalus" w:hAnsi="Andalus" w:cs="Andalus"/>
          <w:i/>
          <w:noProof/>
          <w:sz w:val="28"/>
          <w:szCs w:val="28"/>
          <w:lang w:eastAsia="de-DE"/>
        </w:rPr>
      </w:pPr>
    </w:p>
    <w:p w:rsidR="00C4691C" w:rsidRDefault="00C4691C" w:rsidP="00E8451C">
      <w:pPr>
        <w:spacing w:line="240" w:lineRule="auto"/>
        <w:rPr>
          <w:rFonts w:ascii="Andalus" w:hAnsi="Andalus" w:cs="Andalus"/>
          <w:i/>
          <w:noProof/>
          <w:sz w:val="28"/>
          <w:szCs w:val="28"/>
          <w:lang w:eastAsia="de-DE"/>
        </w:rPr>
      </w:pPr>
    </w:p>
    <w:p w:rsidR="002E2BCA" w:rsidRPr="00395193" w:rsidRDefault="00CA1D04" w:rsidP="00E8451C">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Cabernet Blanc</w:t>
      </w:r>
      <w:r w:rsidR="00C56A49">
        <w:rPr>
          <w:rFonts w:ascii="Andalus" w:hAnsi="Andalus" w:cs="Andalus"/>
          <w:b/>
          <w:i/>
          <w:noProof/>
          <w:sz w:val="28"/>
          <w:szCs w:val="28"/>
          <w:lang w:eastAsia="de-DE"/>
        </w:rPr>
        <w:t>,</w:t>
      </w:r>
      <w:r w:rsidR="00CD5CFA">
        <w:rPr>
          <w:rFonts w:ascii="Andalus" w:hAnsi="Andalus" w:cs="Andalus"/>
          <w:b/>
          <w:i/>
          <w:noProof/>
          <w:sz w:val="28"/>
          <w:szCs w:val="28"/>
          <w:lang w:eastAsia="de-DE"/>
        </w:rPr>
        <w:t xml:space="preserve"> </w:t>
      </w:r>
      <w:r>
        <w:rPr>
          <w:rFonts w:ascii="Andalus" w:hAnsi="Andalus" w:cs="Andalus"/>
          <w:b/>
          <w:i/>
          <w:noProof/>
          <w:sz w:val="28"/>
          <w:szCs w:val="28"/>
          <w:lang w:eastAsia="de-DE"/>
        </w:rPr>
        <w:t>Weingut Schales, Rheinhessen</w:t>
      </w:r>
    </w:p>
    <w:p w:rsidR="00E8451C" w:rsidRPr="00E158F9" w:rsidRDefault="00E158F9" w:rsidP="00256406">
      <w:pPr>
        <w:spacing w:line="240" w:lineRule="auto"/>
        <w:jc w:val="both"/>
        <w:rPr>
          <w:rFonts w:ascii="Andalus" w:hAnsi="Andalus" w:cs="Andalus"/>
          <w:i/>
          <w:iCs/>
          <w:noProof/>
          <w:sz w:val="28"/>
          <w:szCs w:val="28"/>
          <w:lang w:eastAsia="de-DE"/>
        </w:rPr>
      </w:pPr>
      <w:r>
        <w:rPr>
          <w:rFonts w:ascii="Andalus" w:hAnsi="Andalus" w:cs="Andalus"/>
          <w:i/>
          <w:iCs/>
          <w:noProof/>
          <w:sz w:val="28"/>
          <w:szCs w:val="28"/>
          <w:lang w:eastAsia="de-DE"/>
        </w:rPr>
        <w:t>Dieser Wein betört mit seiner e</w:t>
      </w:r>
      <w:r w:rsidRPr="00E158F9">
        <w:rPr>
          <w:rFonts w:ascii="Andalus" w:hAnsi="Andalus" w:cs="Andalus"/>
          <w:i/>
          <w:iCs/>
          <w:noProof/>
          <w:sz w:val="28"/>
          <w:szCs w:val="28"/>
          <w:lang w:eastAsia="de-DE"/>
        </w:rPr>
        <w:t>legante</w:t>
      </w:r>
      <w:r>
        <w:rPr>
          <w:rFonts w:ascii="Andalus" w:hAnsi="Andalus" w:cs="Andalus"/>
          <w:i/>
          <w:iCs/>
          <w:noProof/>
          <w:sz w:val="28"/>
          <w:szCs w:val="28"/>
          <w:lang w:eastAsia="de-DE"/>
        </w:rPr>
        <w:t>n</w:t>
      </w:r>
      <w:r w:rsidRPr="00E158F9">
        <w:rPr>
          <w:rFonts w:ascii="Andalus" w:hAnsi="Andalus" w:cs="Andalus"/>
          <w:i/>
          <w:iCs/>
          <w:noProof/>
          <w:sz w:val="28"/>
          <w:szCs w:val="28"/>
          <w:lang w:eastAsia="de-DE"/>
        </w:rPr>
        <w:t xml:space="preserve"> Duft</w:t>
      </w:r>
      <w:r>
        <w:rPr>
          <w:rFonts w:ascii="Andalus" w:hAnsi="Andalus" w:cs="Andalus"/>
          <w:i/>
          <w:iCs/>
          <w:noProof/>
          <w:sz w:val="28"/>
          <w:szCs w:val="28"/>
          <w:lang w:eastAsia="de-DE"/>
        </w:rPr>
        <w:t>noten</w:t>
      </w:r>
      <w:r w:rsidRPr="00E158F9">
        <w:rPr>
          <w:rFonts w:ascii="Andalus" w:hAnsi="Andalus" w:cs="Andalus"/>
          <w:i/>
          <w:iCs/>
          <w:noProof/>
          <w:sz w:val="28"/>
          <w:szCs w:val="28"/>
          <w:lang w:eastAsia="de-DE"/>
        </w:rPr>
        <w:t xml:space="preserve"> von Limetten, Earl Grey und einem Tupfer Minze; vollmundiger Körper, angenehm herb mit gut eingebauter Fruchtsäure.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4E574E" w:rsidTr="00395193">
        <w:tc>
          <w:tcPr>
            <w:tcW w:w="3070" w:type="dxa"/>
          </w:tcPr>
          <w:p w:rsidR="004E574E" w:rsidRDefault="004333F1" w:rsidP="00FF26E1">
            <w:pPr>
              <w:jc w:val="center"/>
              <w:rPr>
                <w:rFonts w:ascii="Andalus" w:hAnsi="Andalus" w:cs="Andalus"/>
                <w:i/>
                <w:noProof/>
                <w:sz w:val="28"/>
                <w:szCs w:val="28"/>
                <w:lang w:eastAsia="de-DE"/>
              </w:rPr>
            </w:pPr>
            <w:r>
              <w:rPr>
                <w:rFonts w:ascii="Andalus" w:hAnsi="Andalus" w:cs="Andalus"/>
                <w:i/>
                <w:noProof/>
                <w:sz w:val="28"/>
                <w:szCs w:val="28"/>
                <w:lang w:eastAsia="de-DE"/>
              </w:rPr>
              <w:t>5</w:t>
            </w:r>
            <w:r w:rsidR="00E05267">
              <w:rPr>
                <w:rFonts w:ascii="Andalus" w:hAnsi="Andalus" w:cs="Andalus"/>
                <w:i/>
                <w:noProof/>
                <w:sz w:val="28"/>
                <w:szCs w:val="28"/>
                <w:lang w:eastAsia="de-DE"/>
              </w:rPr>
              <w:t>,</w:t>
            </w:r>
            <w:r w:rsidR="00CA1D04">
              <w:rPr>
                <w:rFonts w:ascii="Andalus" w:hAnsi="Andalus" w:cs="Andalus"/>
                <w:i/>
                <w:noProof/>
                <w:sz w:val="28"/>
                <w:szCs w:val="28"/>
                <w:lang w:eastAsia="de-DE"/>
              </w:rPr>
              <w:t>40</w:t>
            </w:r>
            <w:r w:rsidR="00AC1B1F">
              <w:rPr>
                <w:rFonts w:ascii="Andalus" w:hAnsi="Andalus" w:cs="Andalus"/>
                <w:i/>
                <w:noProof/>
                <w:sz w:val="28"/>
                <w:szCs w:val="28"/>
                <w:lang w:eastAsia="de-DE"/>
              </w:rPr>
              <w:t xml:space="preserve"> </w:t>
            </w:r>
            <w:r w:rsidR="004E574E">
              <w:rPr>
                <w:rFonts w:ascii="Andalus" w:hAnsi="Andalus" w:cs="Andalus"/>
                <w:i/>
                <w:noProof/>
                <w:sz w:val="28"/>
                <w:szCs w:val="28"/>
                <w:lang w:eastAsia="de-DE"/>
              </w:rPr>
              <w:t>€</w:t>
            </w:r>
          </w:p>
        </w:tc>
        <w:tc>
          <w:tcPr>
            <w:tcW w:w="3071" w:type="dxa"/>
          </w:tcPr>
          <w:p w:rsidR="004E574E" w:rsidRDefault="00E05267" w:rsidP="004E574E">
            <w:pPr>
              <w:jc w:val="center"/>
              <w:rPr>
                <w:rFonts w:ascii="Andalus" w:hAnsi="Andalus" w:cs="Andalus"/>
                <w:i/>
                <w:noProof/>
                <w:sz w:val="28"/>
                <w:szCs w:val="28"/>
                <w:lang w:eastAsia="de-DE"/>
              </w:rPr>
            </w:pPr>
            <w:r>
              <w:rPr>
                <w:rFonts w:ascii="Andalus" w:hAnsi="Andalus" w:cs="Andalus"/>
                <w:i/>
                <w:noProof/>
                <w:sz w:val="28"/>
                <w:szCs w:val="28"/>
                <w:lang w:eastAsia="de-DE"/>
              </w:rPr>
              <w:t>20,</w:t>
            </w:r>
            <w:r w:rsidR="00CA1D04">
              <w:rPr>
                <w:rFonts w:ascii="Andalus" w:hAnsi="Andalus" w:cs="Andalus"/>
                <w:i/>
                <w:noProof/>
                <w:sz w:val="28"/>
                <w:szCs w:val="28"/>
                <w:lang w:eastAsia="de-DE"/>
              </w:rPr>
              <w:t>00</w:t>
            </w:r>
            <w:r w:rsidR="00AC1B1F">
              <w:rPr>
                <w:rFonts w:ascii="Andalus" w:hAnsi="Andalus" w:cs="Andalus"/>
                <w:i/>
                <w:noProof/>
                <w:sz w:val="28"/>
                <w:szCs w:val="28"/>
                <w:lang w:eastAsia="de-DE"/>
              </w:rPr>
              <w:t xml:space="preserve"> </w:t>
            </w:r>
            <w:r w:rsidR="004E574E">
              <w:rPr>
                <w:rFonts w:ascii="Andalus" w:hAnsi="Andalus" w:cs="Andalus"/>
                <w:i/>
                <w:noProof/>
                <w:sz w:val="28"/>
                <w:szCs w:val="28"/>
                <w:lang w:eastAsia="de-DE"/>
              </w:rPr>
              <w:t>€</w:t>
            </w:r>
          </w:p>
        </w:tc>
        <w:tc>
          <w:tcPr>
            <w:tcW w:w="3071" w:type="dxa"/>
          </w:tcPr>
          <w:p w:rsidR="004E574E" w:rsidRPr="00EA7D75" w:rsidRDefault="00CA1D04" w:rsidP="004E574E">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8</w:t>
            </w:r>
            <w:r w:rsidR="00E05267">
              <w:rPr>
                <w:rFonts w:ascii="Andalus" w:hAnsi="Andalus" w:cs="Andalus"/>
                <w:i/>
                <w:noProof/>
                <w:sz w:val="28"/>
                <w:szCs w:val="28"/>
                <w:lang w:eastAsia="de-DE"/>
              </w:rPr>
              <w:t>,</w:t>
            </w:r>
            <w:r>
              <w:rPr>
                <w:rFonts w:ascii="Andalus" w:hAnsi="Andalus" w:cs="Andalus"/>
                <w:i/>
                <w:noProof/>
                <w:sz w:val="28"/>
                <w:szCs w:val="28"/>
                <w:lang w:eastAsia="de-DE"/>
              </w:rPr>
              <w:t>8</w:t>
            </w:r>
            <w:r w:rsidR="00DF718D">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4E574E">
              <w:rPr>
                <w:rFonts w:ascii="Andalus" w:hAnsi="Andalus" w:cs="Andalus"/>
                <w:i/>
                <w:noProof/>
                <w:sz w:val="28"/>
                <w:szCs w:val="28"/>
                <w:lang w:eastAsia="de-DE"/>
              </w:rPr>
              <w:t>€</w:t>
            </w:r>
            <w:r w:rsidR="00EA7D75" w:rsidRPr="00DD2BAD">
              <w:rPr>
                <w:rFonts w:ascii="Andalus" w:hAnsi="Andalus" w:cs="Andalus"/>
                <w:i/>
                <w:noProof/>
                <w:color w:val="C00000"/>
                <w:sz w:val="28"/>
                <w:szCs w:val="28"/>
                <w:vertAlign w:val="superscript"/>
                <w:lang w:eastAsia="de-DE"/>
              </w:rPr>
              <w:t>xxx</w:t>
            </w:r>
          </w:p>
        </w:tc>
      </w:tr>
    </w:tbl>
    <w:p w:rsidR="00522DB5" w:rsidRDefault="00522DB5" w:rsidP="00A00469">
      <w:pPr>
        <w:spacing w:line="240" w:lineRule="auto"/>
        <w:rPr>
          <w:rFonts w:ascii="Andalus" w:hAnsi="Andalus" w:cs="Andalus"/>
          <w:i/>
          <w:noProof/>
          <w:sz w:val="28"/>
          <w:szCs w:val="28"/>
          <w:lang w:eastAsia="de-DE"/>
        </w:rPr>
      </w:pPr>
    </w:p>
    <w:p w:rsidR="004745E8" w:rsidRDefault="004745E8" w:rsidP="00A00469">
      <w:pPr>
        <w:spacing w:line="240" w:lineRule="auto"/>
        <w:rPr>
          <w:rFonts w:ascii="Andalus" w:hAnsi="Andalus" w:cs="Andalus"/>
          <w:b/>
          <w:i/>
          <w:noProof/>
          <w:sz w:val="28"/>
          <w:szCs w:val="28"/>
          <w:lang w:eastAsia="de-DE"/>
        </w:rPr>
      </w:pPr>
    </w:p>
    <w:p w:rsidR="002E2BCA" w:rsidRDefault="00CA1D04" w:rsidP="00A00469">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Le Weekend Blanc</w:t>
      </w:r>
      <w:r w:rsidR="006B4DF7">
        <w:rPr>
          <w:rFonts w:ascii="Andalus" w:hAnsi="Andalus" w:cs="Andalus"/>
          <w:b/>
          <w:i/>
          <w:noProof/>
          <w:sz w:val="28"/>
          <w:szCs w:val="28"/>
          <w:lang w:eastAsia="de-DE"/>
        </w:rPr>
        <w:t>, Frankreich</w:t>
      </w:r>
    </w:p>
    <w:p w:rsidR="006B4DF7" w:rsidRPr="004D0CC6" w:rsidRDefault="006B4DF7" w:rsidP="006B4DF7">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Wunderschöne  Cuv</w:t>
      </w:r>
      <w:r w:rsidRPr="00A14005">
        <w:rPr>
          <w:rFonts w:ascii="Andalus" w:hAnsi="Andalus" w:cs="Andalus"/>
          <w:i/>
          <w:noProof/>
          <w:sz w:val="28"/>
          <w:szCs w:val="28"/>
          <w:lang w:eastAsia="de-DE"/>
        </w:rPr>
        <w:t>é</w:t>
      </w:r>
      <w:r>
        <w:rPr>
          <w:rFonts w:ascii="Andalus" w:hAnsi="Andalus" w:cs="Andalus"/>
          <w:i/>
          <w:noProof/>
          <w:sz w:val="28"/>
          <w:szCs w:val="28"/>
          <w:lang w:eastAsia="de-DE"/>
        </w:rPr>
        <w:t xml:space="preserve">e aus Chardonnay und </w:t>
      </w:r>
      <w:r w:rsidRPr="000944A1">
        <w:rPr>
          <w:rFonts w:ascii="Andalus" w:hAnsi="Andalus" w:cs="Andalus"/>
          <w:i/>
          <w:noProof/>
          <w:sz w:val="28"/>
          <w:szCs w:val="28"/>
          <w:lang w:eastAsia="de-DE"/>
        </w:rPr>
        <w:t>Viognie</w:t>
      </w:r>
      <w:r>
        <w:rPr>
          <w:rFonts w:ascii="Andalus" w:hAnsi="Andalus" w:cs="Andalus"/>
          <w:i/>
          <w:noProof/>
          <w:sz w:val="28"/>
          <w:szCs w:val="28"/>
          <w:lang w:eastAsia="de-DE"/>
        </w:rPr>
        <w:t>r</w:t>
      </w:r>
      <w:r w:rsidR="00130CDC">
        <w:rPr>
          <w:rFonts w:ascii="Andalus" w:hAnsi="Andalus" w:cs="Andalus"/>
          <w:i/>
          <w:noProof/>
          <w:sz w:val="28"/>
          <w:szCs w:val="28"/>
          <w:lang w:eastAsia="de-DE"/>
        </w:rPr>
        <w:t xml:space="preserve"> mit</w:t>
      </w:r>
      <w:r>
        <w:rPr>
          <w:rFonts w:ascii="Andalus" w:hAnsi="Andalus" w:cs="Andalus"/>
          <w:i/>
          <w:noProof/>
          <w:sz w:val="28"/>
          <w:szCs w:val="28"/>
          <w:lang w:eastAsia="de-DE"/>
        </w:rPr>
        <w:t xml:space="preserve"> ausgewogenen Aromen von Orange und Pfirsich; schmeckt f</w:t>
      </w:r>
      <w:r w:rsidRPr="000944A1">
        <w:rPr>
          <w:rFonts w:ascii="Andalus" w:hAnsi="Andalus" w:cs="Andalus"/>
          <w:i/>
          <w:noProof/>
          <w:sz w:val="28"/>
          <w:szCs w:val="28"/>
          <w:lang w:eastAsia="de-DE"/>
        </w:rPr>
        <w:t>risch, leicht, ausgewogen</w:t>
      </w:r>
      <w:r>
        <w:rPr>
          <w:rFonts w:ascii="Andalus" w:hAnsi="Andalus" w:cs="Andalus"/>
          <w:i/>
          <w:noProof/>
          <w:sz w:val="28"/>
          <w:szCs w:val="28"/>
          <w:lang w:eastAsia="de-DE"/>
        </w:rPr>
        <w:t>.</w:t>
      </w:r>
    </w:p>
    <w:p w:rsidR="00723D1C" w:rsidRPr="00500F2B" w:rsidRDefault="00723D1C" w:rsidP="00A00469">
      <w:pPr>
        <w:spacing w:line="240" w:lineRule="auto"/>
        <w:rPr>
          <w:rFonts w:ascii="Andalus" w:hAnsi="Andalus" w:cs="Andalus"/>
          <w:bCs/>
          <w:i/>
          <w:noProof/>
          <w:sz w:val="28"/>
          <w:szCs w:val="28"/>
          <w:lang w:eastAsia="de-D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2D0EC1" w:rsidTr="004C0485">
        <w:tc>
          <w:tcPr>
            <w:tcW w:w="3070" w:type="dxa"/>
          </w:tcPr>
          <w:p w:rsidR="002D0EC1" w:rsidRDefault="00CA1D04" w:rsidP="002D0EC1">
            <w:pPr>
              <w:jc w:val="center"/>
              <w:rPr>
                <w:rFonts w:ascii="Andalus" w:hAnsi="Andalus" w:cs="Andalus"/>
                <w:i/>
                <w:noProof/>
                <w:sz w:val="28"/>
                <w:szCs w:val="28"/>
                <w:lang w:eastAsia="de-DE"/>
              </w:rPr>
            </w:pPr>
            <w:r>
              <w:rPr>
                <w:rFonts w:ascii="Andalus" w:hAnsi="Andalus" w:cs="Andalus"/>
                <w:i/>
                <w:noProof/>
                <w:sz w:val="28"/>
                <w:szCs w:val="28"/>
                <w:lang w:eastAsia="de-DE"/>
              </w:rPr>
              <w:t>4</w:t>
            </w:r>
            <w:r w:rsidR="00E05267">
              <w:rPr>
                <w:rFonts w:ascii="Andalus" w:hAnsi="Andalus" w:cs="Andalus"/>
                <w:i/>
                <w:noProof/>
                <w:sz w:val="28"/>
                <w:szCs w:val="28"/>
                <w:lang w:eastAsia="de-DE"/>
              </w:rPr>
              <w:t>,</w:t>
            </w:r>
            <w:r>
              <w:rPr>
                <w:rFonts w:ascii="Andalus" w:hAnsi="Andalus" w:cs="Andalus"/>
                <w:i/>
                <w:noProof/>
                <w:sz w:val="28"/>
                <w:szCs w:val="28"/>
                <w:lang w:eastAsia="de-DE"/>
              </w:rPr>
              <w:t>9</w:t>
            </w:r>
            <w:r w:rsidR="002D0EC1">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2D0EC1">
              <w:rPr>
                <w:rFonts w:ascii="Andalus" w:hAnsi="Andalus" w:cs="Andalus"/>
                <w:i/>
                <w:noProof/>
                <w:sz w:val="28"/>
                <w:szCs w:val="28"/>
                <w:lang w:eastAsia="de-DE"/>
              </w:rPr>
              <w:t>€</w:t>
            </w:r>
          </w:p>
        </w:tc>
        <w:tc>
          <w:tcPr>
            <w:tcW w:w="3071" w:type="dxa"/>
          </w:tcPr>
          <w:p w:rsidR="002D0EC1" w:rsidRDefault="00CA1D04" w:rsidP="002D0EC1">
            <w:pPr>
              <w:jc w:val="center"/>
              <w:rPr>
                <w:rFonts w:ascii="Andalus" w:hAnsi="Andalus" w:cs="Andalus"/>
                <w:i/>
                <w:noProof/>
                <w:sz w:val="28"/>
                <w:szCs w:val="28"/>
                <w:lang w:eastAsia="de-DE"/>
              </w:rPr>
            </w:pPr>
            <w:r>
              <w:rPr>
                <w:rFonts w:ascii="Andalus" w:hAnsi="Andalus" w:cs="Andalus"/>
                <w:i/>
                <w:noProof/>
                <w:sz w:val="28"/>
                <w:szCs w:val="28"/>
                <w:lang w:eastAsia="de-DE"/>
              </w:rPr>
              <w:t>18,90</w:t>
            </w:r>
            <w:r w:rsidR="00AC1B1F">
              <w:rPr>
                <w:rFonts w:ascii="Andalus" w:hAnsi="Andalus" w:cs="Andalus"/>
                <w:i/>
                <w:noProof/>
                <w:sz w:val="28"/>
                <w:szCs w:val="28"/>
                <w:lang w:eastAsia="de-DE"/>
              </w:rPr>
              <w:t xml:space="preserve"> </w:t>
            </w:r>
            <w:r w:rsidR="002D0EC1">
              <w:rPr>
                <w:rFonts w:ascii="Andalus" w:hAnsi="Andalus" w:cs="Andalus"/>
                <w:i/>
                <w:noProof/>
                <w:sz w:val="28"/>
                <w:szCs w:val="28"/>
                <w:lang w:eastAsia="de-DE"/>
              </w:rPr>
              <w:t>€</w:t>
            </w:r>
          </w:p>
        </w:tc>
        <w:tc>
          <w:tcPr>
            <w:tcW w:w="3071" w:type="dxa"/>
          </w:tcPr>
          <w:p w:rsidR="009E0699" w:rsidRPr="009E0699" w:rsidRDefault="00CA1D04" w:rsidP="009E0699">
            <w:pPr>
              <w:jc w:val="center"/>
              <w:rPr>
                <w:rFonts w:ascii="Andalus" w:hAnsi="Andalus" w:cs="Andalus"/>
                <w:i/>
                <w:noProof/>
                <w:color w:val="C00000"/>
                <w:sz w:val="28"/>
                <w:szCs w:val="28"/>
                <w:vertAlign w:val="superscript"/>
                <w:lang w:eastAsia="de-DE"/>
              </w:rPr>
            </w:pPr>
            <w:r>
              <w:rPr>
                <w:rFonts w:ascii="Andalus" w:hAnsi="Andalus" w:cs="Andalus"/>
                <w:i/>
                <w:noProof/>
                <w:sz w:val="28"/>
                <w:szCs w:val="28"/>
                <w:lang w:eastAsia="de-DE"/>
              </w:rPr>
              <w:t>8</w:t>
            </w:r>
            <w:r w:rsidR="00E05267">
              <w:rPr>
                <w:rFonts w:ascii="Andalus" w:hAnsi="Andalus" w:cs="Andalus"/>
                <w:i/>
                <w:noProof/>
                <w:sz w:val="28"/>
                <w:szCs w:val="28"/>
                <w:lang w:eastAsia="de-DE"/>
              </w:rPr>
              <w:t>,</w:t>
            </w:r>
            <w:r>
              <w:rPr>
                <w:rFonts w:ascii="Andalus" w:hAnsi="Andalus" w:cs="Andalus"/>
                <w:i/>
                <w:noProof/>
                <w:sz w:val="28"/>
                <w:szCs w:val="28"/>
                <w:lang w:eastAsia="de-DE"/>
              </w:rPr>
              <w:t>3</w:t>
            </w:r>
            <w:r w:rsidR="002D0EC1">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2D0EC1">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034F92" w:rsidRPr="004920E9" w:rsidRDefault="00CA1D04" w:rsidP="00923CFC">
      <w:pPr>
        <w:spacing w:line="240" w:lineRule="auto"/>
        <w:rPr>
          <w:rFonts w:ascii="Andalus" w:hAnsi="Andalus" w:cs="Andalus"/>
          <w:b/>
          <w:i/>
          <w:noProof/>
          <w:sz w:val="28"/>
          <w:szCs w:val="28"/>
          <w:lang w:eastAsia="de-DE"/>
        </w:rPr>
      </w:pPr>
      <w:r>
        <w:rPr>
          <w:rFonts w:ascii="Andalus" w:hAnsi="Andalus" w:cs="Andalus"/>
          <w:b/>
          <w:i/>
          <w:noProof/>
          <w:sz w:val="28"/>
          <w:szCs w:val="28"/>
          <w:lang w:eastAsia="de-DE"/>
        </w:rPr>
        <w:lastRenderedPageBreak/>
        <w:t>Gelber Muskateller, Weingut Geil, Rheinhessen</w:t>
      </w:r>
    </w:p>
    <w:p w:rsidR="00923CFC" w:rsidRDefault="003D6C84" w:rsidP="00256406">
      <w:pPr>
        <w:spacing w:line="240" w:lineRule="auto"/>
        <w:jc w:val="both"/>
        <w:rPr>
          <w:rFonts w:ascii="Andalus" w:hAnsi="Andalus" w:cs="Andalus"/>
          <w:i/>
          <w:noProof/>
          <w:sz w:val="28"/>
          <w:szCs w:val="28"/>
          <w:lang w:eastAsia="de-DE"/>
        </w:rPr>
      </w:pPr>
      <w:r w:rsidRPr="003D6C84">
        <w:rPr>
          <w:rFonts w:ascii="Andalus" w:hAnsi="Andalus" w:cs="Andalus"/>
          <w:i/>
          <w:noProof/>
          <w:sz w:val="28"/>
          <w:szCs w:val="28"/>
          <w:lang w:eastAsia="de-DE"/>
        </w:rPr>
        <w:t xml:space="preserve">Die Rebsorte gilt als eine der ältesten kultivierten Sorten auf der Welt. </w:t>
      </w:r>
      <w:r w:rsidR="00261008" w:rsidRPr="00261008">
        <w:rPr>
          <w:rFonts w:ascii="Andalus" w:hAnsi="Andalus" w:cs="Andalus"/>
          <w:i/>
          <w:noProof/>
          <w:sz w:val="28"/>
          <w:szCs w:val="28"/>
          <w:lang w:eastAsia="de-DE"/>
        </w:rPr>
        <w:t>Das Bukett is</w:t>
      </w:r>
      <w:r w:rsidR="00261008">
        <w:rPr>
          <w:rFonts w:ascii="Andalus" w:hAnsi="Andalus" w:cs="Andalus"/>
          <w:i/>
          <w:noProof/>
          <w:sz w:val="28"/>
          <w:szCs w:val="28"/>
          <w:lang w:eastAsia="de-DE"/>
        </w:rPr>
        <w:t xml:space="preserve">t </w:t>
      </w:r>
      <w:r w:rsidR="00261008" w:rsidRPr="00261008">
        <w:rPr>
          <w:rFonts w:ascii="Andalus" w:hAnsi="Andalus" w:cs="Andalus"/>
          <w:i/>
          <w:noProof/>
          <w:sz w:val="28"/>
          <w:szCs w:val="28"/>
          <w:lang w:eastAsia="de-DE"/>
        </w:rPr>
        <w:t>intensiv, mit floralen Akzenten, frischen Zitrusnoten und duftiger Muskataromatik, bis hin zu feiner Kräuterwürze. Das trocken-schlanke, doch gut strukturierte bis kompakte Geschmacksbild zeigt traubig-weinige Finesse mit einer animierenden, vibrierenden Fruchtsäure.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7B2C9C" w:rsidTr="0035597D">
        <w:tc>
          <w:tcPr>
            <w:tcW w:w="3070" w:type="dxa"/>
          </w:tcPr>
          <w:p w:rsidR="007B2C9C" w:rsidRDefault="00CA1D04" w:rsidP="007B2C9C">
            <w:pPr>
              <w:jc w:val="center"/>
              <w:rPr>
                <w:rFonts w:ascii="Andalus" w:hAnsi="Andalus" w:cs="Andalus"/>
                <w:i/>
                <w:noProof/>
                <w:sz w:val="28"/>
                <w:szCs w:val="28"/>
                <w:lang w:eastAsia="de-DE"/>
              </w:rPr>
            </w:pPr>
            <w:r>
              <w:rPr>
                <w:rFonts w:ascii="Andalus" w:hAnsi="Andalus" w:cs="Andalus"/>
                <w:i/>
                <w:noProof/>
                <w:sz w:val="28"/>
                <w:szCs w:val="28"/>
                <w:lang w:eastAsia="de-DE"/>
              </w:rPr>
              <w:t>5</w:t>
            </w:r>
            <w:r w:rsidR="001A45C3">
              <w:rPr>
                <w:rFonts w:ascii="Andalus" w:hAnsi="Andalus" w:cs="Andalus"/>
                <w:i/>
                <w:noProof/>
                <w:sz w:val="28"/>
                <w:szCs w:val="28"/>
                <w:lang w:eastAsia="de-DE"/>
              </w:rPr>
              <w:t>,</w:t>
            </w:r>
            <w:r>
              <w:rPr>
                <w:rFonts w:ascii="Andalus" w:hAnsi="Andalus" w:cs="Andalus"/>
                <w:i/>
                <w:noProof/>
                <w:sz w:val="28"/>
                <w:szCs w:val="28"/>
                <w:lang w:eastAsia="de-DE"/>
              </w:rPr>
              <w:t>5</w:t>
            </w:r>
            <w:r w:rsidR="00241A39">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7B2C9C">
              <w:rPr>
                <w:rFonts w:ascii="Andalus" w:hAnsi="Andalus" w:cs="Andalus"/>
                <w:i/>
                <w:noProof/>
                <w:sz w:val="28"/>
                <w:szCs w:val="28"/>
                <w:lang w:eastAsia="de-DE"/>
              </w:rPr>
              <w:t>€</w:t>
            </w:r>
          </w:p>
        </w:tc>
        <w:tc>
          <w:tcPr>
            <w:tcW w:w="3071" w:type="dxa"/>
          </w:tcPr>
          <w:p w:rsidR="007B2C9C" w:rsidRDefault="00CA1D04" w:rsidP="007B2C9C">
            <w:pPr>
              <w:jc w:val="center"/>
              <w:rPr>
                <w:rFonts w:ascii="Andalus" w:hAnsi="Andalus" w:cs="Andalus"/>
                <w:i/>
                <w:noProof/>
                <w:sz w:val="28"/>
                <w:szCs w:val="28"/>
                <w:lang w:eastAsia="de-DE"/>
              </w:rPr>
            </w:pPr>
            <w:r>
              <w:rPr>
                <w:rFonts w:ascii="Andalus" w:hAnsi="Andalus" w:cs="Andalus"/>
                <w:i/>
                <w:noProof/>
                <w:sz w:val="28"/>
                <w:szCs w:val="28"/>
                <w:lang w:eastAsia="de-DE"/>
              </w:rPr>
              <w:t>20</w:t>
            </w:r>
            <w:r w:rsidR="001A45C3">
              <w:rPr>
                <w:rFonts w:ascii="Andalus" w:hAnsi="Andalus" w:cs="Andalus"/>
                <w:i/>
                <w:noProof/>
                <w:sz w:val="28"/>
                <w:szCs w:val="28"/>
                <w:lang w:eastAsia="de-DE"/>
              </w:rPr>
              <w:t>,20</w:t>
            </w:r>
            <w:r w:rsidR="00AC1B1F">
              <w:rPr>
                <w:rFonts w:ascii="Andalus" w:hAnsi="Andalus" w:cs="Andalus"/>
                <w:i/>
                <w:noProof/>
                <w:sz w:val="28"/>
                <w:szCs w:val="28"/>
                <w:lang w:eastAsia="de-DE"/>
              </w:rPr>
              <w:t xml:space="preserve"> </w:t>
            </w:r>
            <w:r w:rsidR="007B2C9C">
              <w:rPr>
                <w:rFonts w:ascii="Andalus" w:hAnsi="Andalus" w:cs="Andalus"/>
                <w:i/>
                <w:noProof/>
                <w:sz w:val="28"/>
                <w:szCs w:val="28"/>
                <w:lang w:eastAsia="de-DE"/>
              </w:rPr>
              <w:t>€</w:t>
            </w:r>
          </w:p>
        </w:tc>
        <w:tc>
          <w:tcPr>
            <w:tcW w:w="3071" w:type="dxa"/>
          </w:tcPr>
          <w:p w:rsidR="007B2C9C" w:rsidRPr="00EA7D75" w:rsidRDefault="00CA1D04" w:rsidP="007B2C9C">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8</w:t>
            </w:r>
            <w:r w:rsidR="001A45C3">
              <w:rPr>
                <w:rFonts w:ascii="Andalus" w:hAnsi="Andalus" w:cs="Andalus"/>
                <w:i/>
                <w:noProof/>
                <w:sz w:val="28"/>
                <w:szCs w:val="28"/>
                <w:lang w:eastAsia="de-DE"/>
              </w:rPr>
              <w:t>,8</w:t>
            </w:r>
            <w:r w:rsidR="007D6CAE">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7B2C9C">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C4691C" w:rsidRDefault="00C4691C" w:rsidP="002E2BCA">
      <w:pPr>
        <w:rPr>
          <w:rFonts w:ascii="Andalus" w:hAnsi="Andalus" w:cs="Andalus"/>
          <w:i/>
          <w:noProof/>
          <w:sz w:val="28"/>
          <w:szCs w:val="28"/>
          <w:lang w:eastAsia="de-DE"/>
        </w:rPr>
      </w:pPr>
    </w:p>
    <w:p w:rsidR="004177C8" w:rsidRPr="008F5B19" w:rsidRDefault="004177C8" w:rsidP="002E2BCA">
      <w:pPr>
        <w:rPr>
          <w:rFonts w:ascii="Andalus" w:hAnsi="Andalus" w:cs="Andalus"/>
          <w:i/>
          <w:noProof/>
          <w:sz w:val="28"/>
          <w:szCs w:val="28"/>
          <w:lang w:eastAsia="de-DE"/>
        </w:rPr>
      </w:pPr>
    </w:p>
    <w:p w:rsidR="004745E8" w:rsidRDefault="004745E8" w:rsidP="00717F7F">
      <w:pPr>
        <w:spacing w:line="276" w:lineRule="auto"/>
        <w:rPr>
          <w:rFonts w:ascii="Andalus" w:hAnsi="Andalus" w:cs="Andalus"/>
          <w:b/>
          <w:i/>
          <w:noProof/>
          <w:sz w:val="28"/>
          <w:szCs w:val="28"/>
          <w:lang w:eastAsia="de-DE"/>
        </w:rPr>
      </w:pPr>
    </w:p>
    <w:p w:rsidR="00D738AE" w:rsidRDefault="00CA1D04" w:rsidP="00717F7F">
      <w:pPr>
        <w:spacing w:line="276" w:lineRule="auto"/>
        <w:rPr>
          <w:rFonts w:ascii="Andalus" w:hAnsi="Andalus" w:cs="Andalus"/>
          <w:b/>
          <w:i/>
          <w:noProof/>
          <w:sz w:val="28"/>
          <w:szCs w:val="28"/>
          <w:lang w:eastAsia="de-DE"/>
        </w:rPr>
      </w:pPr>
      <w:r>
        <w:rPr>
          <w:rFonts w:ascii="Andalus" w:hAnsi="Andalus" w:cs="Andalus"/>
          <w:b/>
          <w:i/>
          <w:noProof/>
          <w:sz w:val="28"/>
          <w:szCs w:val="28"/>
          <w:lang w:eastAsia="de-DE"/>
        </w:rPr>
        <w:t>Zweigelt Rose</w:t>
      </w:r>
      <w:r w:rsidR="00467073">
        <w:rPr>
          <w:rFonts w:ascii="Andalus" w:hAnsi="Andalus" w:cs="Andalus"/>
          <w:b/>
          <w:i/>
          <w:noProof/>
          <w:sz w:val="28"/>
          <w:szCs w:val="28"/>
          <w:lang w:eastAsia="de-DE"/>
        </w:rPr>
        <w:t>,</w:t>
      </w:r>
      <w:r>
        <w:rPr>
          <w:rFonts w:ascii="Andalus" w:hAnsi="Andalus" w:cs="Andalus"/>
          <w:b/>
          <w:i/>
          <w:noProof/>
          <w:sz w:val="28"/>
          <w:szCs w:val="28"/>
          <w:lang w:eastAsia="de-DE"/>
        </w:rPr>
        <w:t xml:space="preserve"> Weingut Dürnberg</w:t>
      </w:r>
      <w:r w:rsidR="00467073">
        <w:rPr>
          <w:rFonts w:ascii="Andalus" w:hAnsi="Andalus" w:cs="Andalus"/>
          <w:b/>
          <w:i/>
          <w:noProof/>
          <w:sz w:val="28"/>
          <w:szCs w:val="28"/>
          <w:lang w:eastAsia="de-DE"/>
        </w:rPr>
        <w:t>,</w:t>
      </w:r>
      <w:r>
        <w:rPr>
          <w:rFonts w:ascii="Andalus" w:hAnsi="Andalus" w:cs="Andalus"/>
          <w:b/>
          <w:i/>
          <w:noProof/>
          <w:sz w:val="28"/>
          <w:szCs w:val="28"/>
          <w:lang w:eastAsia="de-DE"/>
        </w:rPr>
        <w:t xml:space="preserve"> Österreich</w:t>
      </w:r>
    </w:p>
    <w:p w:rsidR="00717F7F" w:rsidRDefault="00FE0FD6" w:rsidP="00256406">
      <w:pPr>
        <w:spacing w:line="276" w:lineRule="auto"/>
        <w:jc w:val="both"/>
        <w:rPr>
          <w:rFonts w:ascii="Andalus" w:hAnsi="Andalus" w:cs="Andalus"/>
          <w:i/>
          <w:noProof/>
          <w:sz w:val="28"/>
          <w:szCs w:val="28"/>
          <w:lang w:eastAsia="de-DE"/>
        </w:rPr>
      </w:pPr>
      <w:r w:rsidRPr="00FE0FD6">
        <w:rPr>
          <w:rFonts w:ascii="Andalus" w:hAnsi="Andalus" w:cs="Andalus"/>
          <w:i/>
          <w:noProof/>
          <w:sz w:val="28"/>
          <w:szCs w:val="28"/>
          <w:lang w:eastAsia="de-DE"/>
        </w:rPr>
        <w:t>Animierend satt in der Farbe, feiner Duft nach roten Beeren und Kirschen, am Gaumen saftige Frucht mit feiner Würze und erfrischendem Finish. Ein belebender Aperitif, ein feiner Speisenbegleiter und die beste Wahl für gesellige Stunden.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845158" w:rsidTr="00EF74B3">
        <w:tc>
          <w:tcPr>
            <w:tcW w:w="3070" w:type="dxa"/>
          </w:tcPr>
          <w:p w:rsidR="00845158" w:rsidRDefault="00E05267" w:rsidP="00845158">
            <w:pPr>
              <w:jc w:val="center"/>
              <w:rPr>
                <w:rFonts w:ascii="Andalus" w:hAnsi="Andalus" w:cs="Andalus"/>
                <w:i/>
                <w:noProof/>
                <w:sz w:val="28"/>
                <w:szCs w:val="28"/>
                <w:lang w:eastAsia="de-DE"/>
              </w:rPr>
            </w:pPr>
            <w:r>
              <w:rPr>
                <w:rFonts w:ascii="Andalus" w:hAnsi="Andalus" w:cs="Andalus"/>
                <w:i/>
                <w:noProof/>
                <w:sz w:val="28"/>
                <w:szCs w:val="28"/>
                <w:lang w:eastAsia="de-DE"/>
              </w:rPr>
              <w:t>5,6</w:t>
            </w:r>
            <w:r w:rsidR="0084515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845158">
              <w:rPr>
                <w:rFonts w:ascii="Andalus" w:hAnsi="Andalus" w:cs="Andalus"/>
                <w:i/>
                <w:noProof/>
                <w:sz w:val="28"/>
                <w:szCs w:val="28"/>
                <w:lang w:eastAsia="de-DE"/>
              </w:rPr>
              <w:t>€</w:t>
            </w:r>
          </w:p>
        </w:tc>
        <w:tc>
          <w:tcPr>
            <w:tcW w:w="3071" w:type="dxa"/>
          </w:tcPr>
          <w:p w:rsidR="00845158" w:rsidRDefault="00E05267" w:rsidP="00845158">
            <w:pPr>
              <w:jc w:val="center"/>
              <w:rPr>
                <w:rFonts w:ascii="Andalus" w:hAnsi="Andalus" w:cs="Andalus"/>
                <w:i/>
                <w:noProof/>
                <w:sz w:val="28"/>
                <w:szCs w:val="28"/>
                <w:lang w:eastAsia="de-DE"/>
              </w:rPr>
            </w:pPr>
            <w:r>
              <w:rPr>
                <w:rFonts w:ascii="Andalus" w:hAnsi="Andalus" w:cs="Andalus"/>
                <w:i/>
                <w:noProof/>
                <w:sz w:val="28"/>
                <w:szCs w:val="28"/>
                <w:lang w:eastAsia="de-DE"/>
              </w:rPr>
              <w:t>20,0</w:t>
            </w:r>
            <w:r w:rsidR="0084515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845158">
              <w:rPr>
                <w:rFonts w:ascii="Andalus" w:hAnsi="Andalus" w:cs="Andalus"/>
                <w:i/>
                <w:noProof/>
                <w:sz w:val="28"/>
                <w:szCs w:val="28"/>
                <w:lang w:eastAsia="de-DE"/>
              </w:rPr>
              <w:t>€</w:t>
            </w:r>
          </w:p>
        </w:tc>
        <w:tc>
          <w:tcPr>
            <w:tcW w:w="3071" w:type="dxa"/>
          </w:tcPr>
          <w:p w:rsidR="00845158" w:rsidRPr="00EA7D75" w:rsidRDefault="00E05267" w:rsidP="00CA1C7B">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9</w:t>
            </w:r>
            <w:r w:rsidR="000022C8">
              <w:rPr>
                <w:rFonts w:ascii="Andalus" w:hAnsi="Andalus" w:cs="Andalus"/>
                <w:i/>
                <w:noProof/>
                <w:sz w:val="28"/>
                <w:szCs w:val="28"/>
                <w:lang w:eastAsia="de-DE"/>
              </w:rPr>
              <w:t>,0</w:t>
            </w:r>
            <w:r w:rsidR="00183B06">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845158">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845158" w:rsidRPr="008F5B19" w:rsidRDefault="00845158" w:rsidP="002E2BCA">
      <w:pPr>
        <w:rPr>
          <w:rFonts w:ascii="Andalus" w:hAnsi="Andalus" w:cs="Andalus"/>
          <w:i/>
          <w:noProof/>
          <w:sz w:val="28"/>
          <w:szCs w:val="28"/>
          <w:lang w:eastAsia="de-DE"/>
        </w:rPr>
      </w:pPr>
    </w:p>
    <w:p w:rsidR="004745E8" w:rsidRDefault="004745E8" w:rsidP="007D6C3A">
      <w:pPr>
        <w:spacing w:line="240" w:lineRule="auto"/>
        <w:rPr>
          <w:rFonts w:ascii="Andalus" w:hAnsi="Andalus" w:cs="Andalus"/>
          <w:b/>
          <w:i/>
          <w:noProof/>
          <w:sz w:val="28"/>
          <w:szCs w:val="28"/>
          <w:lang w:eastAsia="de-DE"/>
        </w:rPr>
      </w:pPr>
    </w:p>
    <w:p w:rsidR="00452CFE" w:rsidRDefault="00CA1D04" w:rsidP="007D6C3A">
      <w:pPr>
        <w:spacing w:line="240" w:lineRule="auto"/>
        <w:rPr>
          <w:rFonts w:ascii="Andalus" w:hAnsi="Andalus" w:cs="Andalus"/>
          <w:b/>
          <w:i/>
          <w:noProof/>
          <w:sz w:val="28"/>
          <w:szCs w:val="28"/>
          <w:lang w:val="en-US" w:eastAsia="de-DE"/>
        </w:rPr>
      </w:pPr>
      <w:r>
        <w:rPr>
          <w:rFonts w:ascii="Andalus" w:hAnsi="Andalus" w:cs="Andalus"/>
          <w:b/>
          <w:i/>
          <w:noProof/>
          <w:sz w:val="28"/>
          <w:szCs w:val="28"/>
          <w:lang w:eastAsia="de-DE"/>
        </w:rPr>
        <w:t>Parlemont Les Maries Rose</w:t>
      </w:r>
      <w:r w:rsidR="00616579">
        <w:rPr>
          <w:rFonts w:ascii="Andalus" w:hAnsi="Andalus" w:cs="Andalus"/>
          <w:b/>
          <w:i/>
          <w:noProof/>
          <w:sz w:val="28"/>
          <w:szCs w:val="28"/>
          <w:lang w:eastAsia="de-DE"/>
        </w:rPr>
        <w:t>,</w:t>
      </w:r>
      <w:r>
        <w:rPr>
          <w:rFonts w:ascii="Andalus" w:hAnsi="Andalus" w:cs="Andalus"/>
          <w:b/>
          <w:i/>
          <w:noProof/>
          <w:sz w:val="28"/>
          <w:szCs w:val="28"/>
          <w:lang w:eastAsia="de-DE"/>
        </w:rPr>
        <w:t xml:space="preserve"> </w:t>
      </w:r>
      <w:r w:rsidR="00642F6B">
        <w:rPr>
          <w:rFonts w:ascii="Andalus" w:hAnsi="Andalus" w:cs="Andalus"/>
          <w:b/>
          <w:i/>
          <w:noProof/>
          <w:sz w:val="28"/>
          <w:szCs w:val="28"/>
          <w:lang w:eastAsia="de-DE"/>
        </w:rPr>
        <w:t xml:space="preserve">Weingut Parlemont, </w:t>
      </w:r>
      <w:r>
        <w:rPr>
          <w:rFonts w:ascii="Andalus" w:hAnsi="Andalus" w:cs="Andalus"/>
          <w:b/>
          <w:i/>
          <w:noProof/>
          <w:sz w:val="28"/>
          <w:szCs w:val="28"/>
          <w:lang w:eastAsia="de-DE"/>
        </w:rPr>
        <w:t>Frankreich</w:t>
      </w:r>
    </w:p>
    <w:p w:rsidR="009D0511" w:rsidRPr="009D0511" w:rsidRDefault="00642F6B" w:rsidP="00256406">
      <w:pPr>
        <w:spacing w:line="240" w:lineRule="auto"/>
        <w:jc w:val="both"/>
        <w:rPr>
          <w:rFonts w:ascii="Andalus" w:hAnsi="Andalus" w:cs="Andalus"/>
          <w:i/>
          <w:noProof/>
          <w:sz w:val="28"/>
          <w:szCs w:val="28"/>
          <w:lang w:eastAsia="de-DE"/>
        </w:rPr>
      </w:pPr>
      <w:r w:rsidRPr="00642F6B">
        <w:rPr>
          <w:rFonts w:ascii="Andalus" w:hAnsi="Andalus" w:cs="Andalus"/>
          <w:i/>
          <w:noProof/>
          <w:sz w:val="28"/>
          <w:szCs w:val="28"/>
          <w:lang w:eastAsia="de-DE"/>
        </w:rPr>
        <w:t xml:space="preserve">Das Bukett </w:t>
      </w:r>
      <w:r>
        <w:rPr>
          <w:rFonts w:ascii="Andalus" w:hAnsi="Andalus" w:cs="Andalus"/>
          <w:i/>
          <w:noProof/>
          <w:sz w:val="28"/>
          <w:szCs w:val="28"/>
          <w:lang w:eastAsia="de-DE"/>
        </w:rPr>
        <w:t xml:space="preserve">dieser Cuevée aus Cinsault und Grenache </w:t>
      </w:r>
      <w:r w:rsidRPr="00642F6B">
        <w:rPr>
          <w:rFonts w:ascii="Andalus" w:hAnsi="Andalus" w:cs="Andalus"/>
          <w:i/>
          <w:noProof/>
          <w:sz w:val="28"/>
          <w:szCs w:val="28"/>
          <w:lang w:eastAsia="de-DE"/>
        </w:rPr>
        <w:t>vereint fruchtige Noten von Litschi, Erdbeeren und Äpfeln. Am Gaumen ist diese trockene Komposition frisch, pikant und animierend, mit delikater Fülle und Eleganz.</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F6621F" w:rsidTr="00C01C8F">
        <w:tc>
          <w:tcPr>
            <w:tcW w:w="3070" w:type="dxa"/>
          </w:tcPr>
          <w:p w:rsidR="00F6621F" w:rsidRPr="00927BE7" w:rsidRDefault="00CA1D04" w:rsidP="00F6621F">
            <w:pPr>
              <w:jc w:val="center"/>
              <w:rPr>
                <w:rFonts w:ascii="Andalus" w:hAnsi="Andalus" w:cs="Andalus"/>
                <w:i/>
                <w:noProof/>
                <w:sz w:val="28"/>
                <w:szCs w:val="28"/>
                <w:lang w:eastAsia="de-DE"/>
              </w:rPr>
            </w:pPr>
            <w:r>
              <w:rPr>
                <w:rFonts w:ascii="Andalus" w:hAnsi="Andalus" w:cs="Andalus"/>
                <w:i/>
                <w:noProof/>
                <w:sz w:val="28"/>
                <w:szCs w:val="28"/>
                <w:lang w:eastAsia="de-DE"/>
              </w:rPr>
              <w:t>4</w:t>
            </w:r>
            <w:r w:rsidR="001C3323">
              <w:rPr>
                <w:rFonts w:ascii="Andalus" w:hAnsi="Andalus" w:cs="Andalus"/>
                <w:i/>
                <w:noProof/>
                <w:sz w:val="28"/>
                <w:szCs w:val="28"/>
                <w:lang w:eastAsia="de-DE"/>
              </w:rPr>
              <w:t>,</w:t>
            </w:r>
            <w:r>
              <w:rPr>
                <w:rFonts w:ascii="Andalus" w:hAnsi="Andalus" w:cs="Andalus"/>
                <w:i/>
                <w:noProof/>
                <w:sz w:val="28"/>
                <w:szCs w:val="28"/>
                <w:lang w:eastAsia="de-DE"/>
              </w:rPr>
              <w:t>9</w:t>
            </w:r>
            <w:r w:rsidR="00F6621F" w:rsidRPr="00927BE7">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6621F" w:rsidRPr="00927BE7">
              <w:rPr>
                <w:rFonts w:ascii="Andalus" w:hAnsi="Andalus" w:cs="Andalus"/>
                <w:i/>
                <w:noProof/>
                <w:sz w:val="28"/>
                <w:szCs w:val="28"/>
                <w:lang w:eastAsia="de-DE"/>
              </w:rPr>
              <w:t>€</w:t>
            </w:r>
          </w:p>
        </w:tc>
        <w:tc>
          <w:tcPr>
            <w:tcW w:w="3071" w:type="dxa"/>
          </w:tcPr>
          <w:p w:rsidR="00F6621F" w:rsidRPr="00927BE7" w:rsidRDefault="001C3323" w:rsidP="00F6621F">
            <w:pPr>
              <w:jc w:val="center"/>
              <w:rPr>
                <w:rFonts w:ascii="Andalus" w:hAnsi="Andalus" w:cs="Andalus"/>
                <w:i/>
                <w:noProof/>
                <w:sz w:val="28"/>
                <w:szCs w:val="28"/>
                <w:lang w:eastAsia="de-DE"/>
              </w:rPr>
            </w:pPr>
            <w:r>
              <w:rPr>
                <w:rFonts w:ascii="Andalus" w:hAnsi="Andalus" w:cs="Andalus"/>
                <w:i/>
                <w:noProof/>
                <w:sz w:val="28"/>
                <w:szCs w:val="28"/>
                <w:lang w:eastAsia="de-DE"/>
              </w:rPr>
              <w:t>19,0</w:t>
            </w:r>
            <w:r w:rsidR="00F6621F" w:rsidRPr="00927BE7">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6621F" w:rsidRPr="00927BE7">
              <w:rPr>
                <w:rFonts w:ascii="Andalus" w:hAnsi="Andalus" w:cs="Andalus"/>
                <w:i/>
                <w:noProof/>
                <w:sz w:val="28"/>
                <w:szCs w:val="28"/>
                <w:lang w:eastAsia="de-DE"/>
              </w:rPr>
              <w:t>€</w:t>
            </w:r>
          </w:p>
        </w:tc>
        <w:tc>
          <w:tcPr>
            <w:tcW w:w="3071" w:type="dxa"/>
          </w:tcPr>
          <w:p w:rsidR="00F6621F" w:rsidRPr="00927BE7" w:rsidRDefault="001C3323" w:rsidP="00F6621F">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8,</w:t>
            </w:r>
            <w:r w:rsidR="00CA1D04">
              <w:rPr>
                <w:rFonts w:ascii="Andalus" w:hAnsi="Andalus" w:cs="Andalus"/>
                <w:i/>
                <w:noProof/>
                <w:sz w:val="28"/>
                <w:szCs w:val="28"/>
                <w:lang w:eastAsia="de-DE"/>
              </w:rPr>
              <w:t>40</w:t>
            </w:r>
            <w:r w:rsidR="00AC1B1F">
              <w:rPr>
                <w:rFonts w:ascii="Andalus" w:hAnsi="Andalus" w:cs="Andalus"/>
                <w:i/>
                <w:noProof/>
                <w:sz w:val="28"/>
                <w:szCs w:val="28"/>
                <w:lang w:eastAsia="de-DE"/>
              </w:rPr>
              <w:t xml:space="preserve"> </w:t>
            </w:r>
            <w:r w:rsidR="00F6621F" w:rsidRPr="00927BE7">
              <w:rPr>
                <w:rFonts w:ascii="Andalus" w:hAnsi="Andalus" w:cs="Andalus"/>
                <w:i/>
                <w:noProof/>
                <w:sz w:val="28"/>
                <w:szCs w:val="28"/>
                <w:lang w:eastAsia="de-DE"/>
              </w:rPr>
              <w:t>€</w:t>
            </w:r>
            <w:r w:rsidR="00EA7D75" w:rsidRPr="00927BE7">
              <w:rPr>
                <w:rFonts w:ascii="Andalus" w:hAnsi="Andalus" w:cs="Andalus"/>
                <w:i/>
                <w:noProof/>
                <w:color w:val="C00000"/>
                <w:sz w:val="28"/>
                <w:szCs w:val="28"/>
                <w:vertAlign w:val="superscript"/>
                <w:lang w:eastAsia="de-DE"/>
              </w:rPr>
              <w:t>xxx</w:t>
            </w:r>
          </w:p>
        </w:tc>
      </w:tr>
    </w:tbl>
    <w:p w:rsidR="004E2EC9" w:rsidRDefault="00874151" w:rsidP="007F0F35">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 xml:space="preserve"> </w:t>
      </w:r>
    </w:p>
    <w:p w:rsidR="002E2BCA" w:rsidRDefault="002E2BCA" w:rsidP="007F0F35">
      <w:pPr>
        <w:spacing w:line="240" w:lineRule="auto"/>
        <w:rPr>
          <w:rFonts w:ascii="Andalus" w:hAnsi="Andalus" w:cs="Andalus"/>
          <w:b/>
          <w:i/>
          <w:noProof/>
          <w:sz w:val="28"/>
          <w:szCs w:val="28"/>
          <w:lang w:eastAsia="de-DE"/>
        </w:rPr>
      </w:pPr>
    </w:p>
    <w:p w:rsidR="004177C8" w:rsidRDefault="004177C8" w:rsidP="007F0F35">
      <w:pPr>
        <w:spacing w:line="240" w:lineRule="auto"/>
        <w:rPr>
          <w:rFonts w:ascii="Andalus" w:hAnsi="Andalus" w:cs="Andalus"/>
          <w:b/>
          <w:i/>
          <w:noProof/>
          <w:sz w:val="28"/>
          <w:szCs w:val="28"/>
          <w:lang w:eastAsia="de-DE"/>
        </w:rPr>
      </w:pPr>
    </w:p>
    <w:p w:rsidR="00CA1D04" w:rsidRPr="00142B22" w:rsidRDefault="00CA1D04" w:rsidP="007F0F35">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Musso Tempranillo Biowein</w:t>
      </w:r>
      <w:r w:rsidR="00AF3119">
        <w:rPr>
          <w:rFonts w:ascii="Andalus" w:hAnsi="Andalus" w:cs="Andalus"/>
          <w:b/>
          <w:i/>
          <w:noProof/>
          <w:sz w:val="28"/>
          <w:szCs w:val="28"/>
          <w:lang w:eastAsia="de-DE"/>
        </w:rPr>
        <w:t xml:space="preserve">, </w:t>
      </w:r>
      <w:r>
        <w:rPr>
          <w:rFonts w:ascii="Andalus" w:hAnsi="Andalus" w:cs="Andalus"/>
          <w:b/>
          <w:i/>
          <w:noProof/>
          <w:sz w:val="28"/>
          <w:szCs w:val="28"/>
          <w:lang w:eastAsia="de-DE"/>
        </w:rPr>
        <w:t>Spanien</w:t>
      </w:r>
    </w:p>
    <w:p w:rsidR="007F0F35" w:rsidRPr="007F0F35" w:rsidRDefault="00AF3119" w:rsidP="00256406">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 xml:space="preserve">Dieser aus biologischem Anbau gewonnene Tempranillo besticht durch sein </w:t>
      </w:r>
      <w:r w:rsidRPr="00AF3119">
        <w:rPr>
          <w:rFonts w:ascii="Andalus" w:hAnsi="Andalus" w:cs="Andalus"/>
          <w:i/>
          <w:noProof/>
          <w:sz w:val="28"/>
          <w:szCs w:val="28"/>
          <w:lang w:eastAsia="de-DE"/>
        </w:rPr>
        <w:t>kräftig</w:t>
      </w:r>
      <w:r>
        <w:rPr>
          <w:rFonts w:ascii="Andalus" w:hAnsi="Andalus" w:cs="Andalus"/>
          <w:i/>
          <w:noProof/>
          <w:sz w:val="28"/>
          <w:szCs w:val="28"/>
          <w:lang w:eastAsia="de-DE"/>
        </w:rPr>
        <w:t>es Armona</w:t>
      </w:r>
      <w:r w:rsidR="00C03D9F">
        <w:rPr>
          <w:rFonts w:ascii="Andalus" w:hAnsi="Andalus" w:cs="Andalus"/>
          <w:i/>
          <w:noProof/>
          <w:sz w:val="28"/>
          <w:szCs w:val="28"/>
          <w:lang w:eastAsia="de-DE"/>
        </w:rPr>
        <w:t>, mit viel Würze.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666D58" w:rsidTr="00397469">
        <w:tc>
          <w:tcPr>
            <w:tcW w:w="3070" w:type="dxa"/>
          </w:tcPr>
          <w:p w:rsidR="00666D58" w:rsidRDefault="00CA1D04" w:rsidP="00666D58">
            <w:pPr>
              <w:jc w:val="center"/>
              <w:rPr>
                <w:rFonts w:ascii="Andalus" w:hAnsi="Andalus" w:cs="Andalus"/>
                <w:i/>
                <w:noProof/>
                <w:sz w:val="28"/>
                <w:szCs w:val="28"/>
                <w:lang w:val="en-US" w:eastAsia="de-DE"/>
              </w:rPr>
            </w:pPr>
            <w:r>
              <w:rPr>
                <w:rFonts w:ascii="Andalus" w:hAnsi="Andalus" w:cs="Andalus"/>
                <w:i/>
                <w:noProof/>
                <w:sz w:val="28"/>
                <w:szCs w:val="28"/>
                <w:lang w:val="en-US" w:eastAsia="de-DE"/>
              </w:rPr>
              <w:t>4</w:t>
            </w:r>
            <w:r w:rsidR="00E05267">
              <w:rPr>
                <w:rFonts w:ascii="Andalus" w:hAnsi="Andalus" w:cs="Andalus"/>
                <w:i/>
                <w:noProof/>
                <w:sz w:val="28"/>
                <w:szCs w:val="28"/>
                <w:lang w:val="en-US" w:eastAsia="de-DE"/>
              </w:rPr>
              <w:t>,</w:t>
            </w:r>
            <w:r>
              <w:rPr>
                <w:rFonts w:ascii="Andalus" w:hAnsi="Andalus" w:cs="Andalus"/>
                <w:i/>
                <w:noProof/>
                <w:sz w:val="28"/>
                <w:szCs w:val="28"/>
                <w:lang w:val="en-US" w:eastAsia="de-DE"/>
              </w:rPr>
              <w:t>9</w:t>
            </w:r>
            <w:r w:rsidR="00666D58">
              <w:rPr>
                <w:rFonts w:ascii="Andalus" w:hAnsi="Andalus" w:cs="Andalus"/>
                <w:i/>
                <w:noProof/>
                <w:sz w:val="28"/>
                <w:szCs w:val="28"/>
                <w:lang w:val="en-US" w:eastAsia="de-DE"/>
              </w:rPr>
              <w:t>0</w:t>
            </w:r>
            <w:r w:rsidR="00AC1B1F">
              <w:rPr>
                <w:rFonts w:ascii="Andalus" w:hAnsi="Andalus" w:cs="Andalus"/>
                <w:i/>
                <w:noProof/>
                <w:sz w:val="28"/>
                <w:szCs w:val="28"/>
                <w:lang w:val="en-US" w:eastAsia="de-DE"/>
              </w:rPr>
              <w:t xml:space="preserve"> </w:t>
            </w:r>
            <w:r w:rsidR="00666D58">
              <w:rPr>
                <w:rFonts w:ascii="Andalus" w:hAnsi="Andalus" w:cs="Andalus"/>
                <w:i/>
                <w:noProof/>
                <w:sz w:val="28"/>
                <w:szCs w:val="28"/>
                <w:lang w:val="en-US" w:eastAsia="de-DE"/>
              </w:rPr>
              <w:t>€</w:t>
            </w:r>
          </w:p>
        </w:tc>
        <w:tc>
          <w:tcPr>
            <w:tcW w:w="3071" w:type="dxa"/>
          </w:tcPr>
          <w:p w:rsidR="00666D58" w:rsidRDefault="00E05267" w:rsidP="00666D58">
            <w:pPr>
              <w:jc w:val="center"/>
              <w:rPr>
                <w:rFonts w:ascii="Andalus" w:hAnsi="Andalus" w:cs="Andalus"/>
                <w:i/>
                <w:noProof/>
                <w:sz w:val="28"/>
                <w:szCs w:val="28"/>
                <w:lang w:val="en-US" w:eastAsia="de-DE"/>
              </w:rPr>
            </w:pPr>
            <w:r>
              <w:rPr>
                <w:rFonts w:ascii="Andalus" w:hAnsi="Andalus" w:cs="Andalus"/>
                <w:i/>
                <w:noProof/>
                <w:sz w:val="28"/>
                <w:szCs w:val="28"/>
                <w:lang w:val="en-US" w:eastAsia="de-DE"/>
              </w:rPr>
              <w:t>18,9</w:t>
            </w:r>
            <w:r w:rsidR="00666D58">
              <w:rPr>
                <w:rFonts w:ascii="Andalus" w:hAnsi="Andalus" w:cs="Andalus"/>
                <w:i/>
                <w:noProof/>
                <w:sz w:val="28"/>
                <w:szCs w:val="28"/>
                <w:lang w:val="en-US" w:eastAsia="de-DE"/>
              </w:rPr>
              <w:t>0</w:t>
            </w:r>
            <w:r w:rsidR="00AC1B1F">
              <w:rPr>
                <w:rFonts w:ascii="Andalus" w:hAnsi="Andalus" w:cs="Andalus"/>
                <w:i/>
                <w:noProof/>
                <w:sz w:val="28"/>
                <w:szCs w:val="28"/>
                <w:lang w:val="en-US" w:eastAsia="de-DE"/>
              </w:rPr>
              <w:t xml:space="preserve"> </w:t>
            </w:r>
            <w:r w:rsidR="00666D58">
              <w:rPr>
                <w:rFonts w:ascii="Andalus" w:hAnsi="Andalus" w:cs="Andalus"/>
                <w:i/>
                <w:noProof/>
                <w:sz w:val="28"/>
                <w:szCs w:val="28"/>
                <w:lang w:val="en-US" w:eastAsia="de-DE"/>
              </w:rPr>
              <w:t>€</w:t>
            </w:r>
          </w:p>
        </w:tc>
        <w:tc>
          <w:tcPr>
            <w:tcW w:w="3071" w:type="dxa"/>
          </w:tcPr>
          <w:p w:rsidR="00666D58" w:rsidRPr="00EA7D75" w:rsidRDefault="00E05267" w:rsidP="00666D58">
            <w:pPr>
              <w:jc w:val="center"/>
              <w:rPr>
                <w:rFonts w:ascii="Andalus" w:hAnsi="Andalus" w:cs="Andalus"/>
                <w:i/>
                <w:noProof/>
                <w:sz w:val="28"/>
                <w:szCs w:val="28"/>
                <w:vertAlign w:val="superscript"/>
                <w:lang w:val="en-US" w:eastAsia="de-DE"/>
              </w:rPr>
            </w:pPr>
            <w:r>
              <w:rPr>
                <w:rFonts w:ascii="Andalus" w:hAnsi="Andalus" w:cs="Andalus"/>
                <w:i/>
                <w:noProof/>
                <w:sz w:val="28"/>
                <w:szCs w:val="28"/>
                <w:lang w:val="en-US" w:eastAsia="de-DE"/>
              </w:rPr>
              <w:t>8,</w:t>
            </w:r>
            <w:r w:rsidR="00CA1D04">
              <w:rPr>
                <w:rFonts w:ascii="Andalus" w:hAnsi="Andalus" w:cs="Andalus"/>
                <w:i/>
                <w:noProof/>
                <w:sz w:val="28"/>
                <w:szCs w:val="28"/>
                <w:lang w:val="en-US" w:eastAsia="de-DE"/>
              </w:rPr>
              <w:t>4</w:t>
            </w:r>
            <w:r w:rsidR="003D2046">
              <w:rPr>
                <w:rFonts w:ascii="Andalus" w:hAnsi="Andalus" w:cs="Andalus"/>
                <w:i/>
                <w:noProof/>
                <w:sz w:val="28"/>
                <w:szCs w:val="28"/>
                <w:lang w:val="en-US" w:eastAsia="de-DE"/>
              </w:rPr>
              <w:t>0</w:t>
            </w:r>
            <w:r w:rsidR="00AC1B1F">
              <w:rPr>
                <w:rFonts w:ascii="Andalus" w:hAnsi="Andalus" w:cs="Andalus"/>
                <w:i/>
                <w:noProof/>
                <w:sz w:val="28"/>
                <w:szCs w:val="28"/>
                <w:lang w:val="en-US" w:eastAsia="de-DE"/>
              </w:rPr>
              <w:t xml:space="preserve"> </w:t>
            </w:r>
            <w:r w:rsidR="00666D58">
              <w:rPr>
                <w:rFonts w:ascii="Andalus" w:hAnsi="Andalus" w:cs="Andalus"/>
                <w:i/>
                <w:noProof/>
                <w:sz w:val="28"/>
                <w:szCs w:val="28"/>
                <w:lang w:val="en-US" w:eastAsia="de-DE"/>
              </w:rPr>
              <w:t>€</w:t>
            </w:r>
            <w:r w:rsidR="00EA7D75" w:rsidRPr="002A4144">
              <w:rPr>
                <w:rFonts w:ascii="Andalus" w:hAnsi="Andalus" w:cs="Andalus"/>
                <w:i/>
                <w:noProof/>
                <w:color w:val="C00000"/>
                <w:sz w:val="28"/>
                <w:szCs w:val="28"/>
                <w:vertAlign w:val="superscript"/>
                <w:lang w:val="en-US" w:eastAsia="de-DE"/>
              </w:rPr>
              <w:t>xxx</w:t>
            </w:r>
          </w:p>
        </w:tc>
      </w:tr>
    </w:tbl>
    <w:p w:rsidR="006449A3" w:rsidRDefault="006449A3" w:rsidP="00503071">
      <w:pPr>
        <w:spacing w:line="240" w:lineRule="auto"/>
        <w:rPr>
          <w:rFonts w:ascii="Andalus" w:hAnsi="Andalus" w:cs="Andalus"/>
          <w:i/>
          <w:noProof/>
          <w:sz w:val="28"/>
          <w:szCs w:val="28"/>
          <w:lang w:val="en-US" w:eastAsia="de-DE"/>
        </w:rPr>
      </w:pPr>
    </w:p>
    <w:p w:rsidR="0050242F" w:rsidRPr="0050242F" w:rsidRDefault="00CA1D04" w:rsidP="00503071">
      <w:pPr>
        <w:spacing w:line="240" w:lineRule="auto"/>
        <w:rPr>
          <w:rFonts w:ascii="Andalus" w:hAnsi="Andalus" w:cs="Andalus"/>
          <w:b/>
          <w:i/>
          <w:noProof/>
          <w:sz w:val="28"/>
          <w:szCs w:val="28"/>
          <w:lang w:val="en-US" w:eastAsia="de-DE"/>
        </w:rPr>
      </w:pPr>
      <w:r>
        <w:rPr>
          <w:rFonts w:ascii="Andalus" w:hAnsi="Andalus" w:cs="Andalus"/>
          <w:b/>
          <w:i/>
          <w:noProof/>
          <w:sz w:val="28"/>
          <w:szCs w:val="28"/>
          <w:lang w:val="en-US" w:eastAsia="de-DE"/>
        </w:rPr>
        <w:lastRenderedPageBreak/>
        <w:t>Terralis Syrah</w:t>
      </w:r>
      <w:r w:rsidR="008F2B7F">
        <w:rPr>
          <w:rFonts w:ascii="Andalus" w:hAnsi="Andalus" w:cs="Andalus"/>
          <w:b/>
          <w:i/>
          <w:noProof/>
          <w:sz w:val="28"/>
          <w:szCs w:val="28"/>
          <w:lang w:val="en-US" w:eastAsia="de-DE"/>
        </w:rPr>
        <w:t>-</w:t>
      </w:r>
      <w:r>
        <w:rPr>
          <w:rFonts w:ascii="Andalus" w:hAnsi="Andalus" w:cs="Andalus"/>
          <w:b/>
          <w:i/>
          <w:noProof/>
          <w:sz w:val="28"/>
          <w:szCs w:val="28"/>
          <w:lang w:val="en-US" w:eastAsia="de-DE"/>
        </w:rPr>
        <w:t>Malbec</w:t>
      </w:r>
      <w:r w:rsidR="008F2B7F">
        <w:rPr>
          <w:rFonts w:ascii="Andalus" w:hAnsi="Andalus" w:cs="Andalus"/>
          <w:b/>
          <w:i/>
          <w:noProof/>
          <w:sz w:val="28"/>
          <w:szCs w:val="28"/>
          <w:lang w:val="en-US" w:eastAsia="de-DE"/>
        </w:rPr>
        <w:t xml:space="preserve">, </w:t>
      </w:r>
      <w:r w:rsidR="00B36D69">
        <w:rPr>
          <w:rFonts w:ascii="Andalus" w:hAnsi="Andalus" w:cs="Andalus"/>
          <w:b/>
          <w:i/>
          <w:noProof/>
          <w:sz w:val="28"/>
          <w:szCs w:val="28"/>
          <w:lang w:val="en-US" w:eastAsia="de-DE"/>
        </w:rPr>
        <w:t xml:space="preserve">Weingut Trivento, </w:t>
      </w:r>
      <w:r w:rsidR="003039F0">
        <w:rPr>
          <w:rFonts w:ascii="Andalus" w:hAnsi="Andalus" w:cs="Andalus"/>
          <w:b/>
          <w:i/>
          <w:noProof/>
          <w:sz w:val="28"/>
          <w:szCs w:val="28"/>
          <w:lang w:val="en-US" w:eastAsia="de-DE"/>
        </w:rPr>
        <w:t>Argentinien</w:t>
      </w:r>
    </w:p>
    <w:p w:rsidR="00503071" w:rsidRDefault="00966F23" w:rsidP="00966F23">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 xml:space="preserve">Diese Rotweincuevée </w:t>
      </w:r>
      <w:r w:rsidRPr="00966F23">
        <w:rPr>
          <w:rFonts w:ascii="Andalus" w:hAnsi="Andalus" w:cs="Andalus"/>
          <w:i/>
          <w:noProof/>
          <w:sz w:val="28"/>
          <w:szCs w:val="28"/>
          <w:lang w:eastAsia="de-DE"/>
        </w:rPr>
        <w:t>verbindet auf harmonische Art die typischen Charakterzüge der beiden Rebsorten Syrah und Malbec. Ausdrucksstarke Nase von dunklen Beeren und Gewürznoten. Am Gaumen fruchtiger Kern, moderates Tannin, angenehm frisch, würzig.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FA3ED4" w:rsidTr="00DA1058">
        <w:tc>
          <w:tcPr>
            <w:tcW w:w="3070" w:type="dxa"/>
          </w:tcPr>
          <w:p w:rsidR="00FA3ED4" w:rsidRDefault="00E05267" w:rsidP="00FA3ED4">
            <w:pPr>
              <w:jc w:val="center"/>
              <w:rPr>
                <w:rFonts w:ascii="Andalus" w:hAnsi="Andalus" w:cs="Andalus"/>
                <w:i/>
                <w:noProof/>
                <w:sz w:val="28"/>
                <w:szCs w:val="28"/>
                <w:lang w:eastAsia="de-DE"/>
              </w:rPr>
            </w:pPr>
            <w:r>
              <w:rPr>
                <w:rFonts w:ascii="Andalus" w:hAnsi="Andalus" w:cs="Andalus"/>
                <w:i/>
                <w:noProof/>
                <w:sz w:val="28"/>
                <w:szCs w:val="28"/>
                <w:lang w:eastAsia="de-DE"/>
              </w:rPr>
              <w:t>5,</w:t>
            </w:r>
            <w:r w:rsidR="003039F0">
              <w:rPr>
                <w:rFonts w:ascii="Andalus" w:hAnsi="Andalus" w:cs="Andalus"/>
                <w:i/>
                <w:noProof/>
                <w:sz w:val="28"/>
                <w:szCs w:val="28"/>
                <w:lang w:eastAsia="de-DE"/>
              </w:rPr>
              <w:t>2</w:t>
            </w:r>
            <w:r w:rsidR="00FA3ED4">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A3ED4">
              <w:rPr>
                <w:rFonts w:ascii="Andalus" w:hAnsi="Andalus" w:cs="Andalus"/>
                <w:i/>
                <w:noProof/>
                <w:sz w:val="28"/>
                <w:szCs w:val="28"/>
                <w:lang w:eastAsia="de-DE"/>
              </w:rPr>
              <w:t>€</w:t>
            </w:r>
          </w:p>
        </w:tc>
        <w:tc>
          <w:tcPr>
            <w:tcW w:w="3071" w:type="dxa"/>
          </w:tcPr>
          <w:p w:rsidR="00FA3ED4" w:rsidRDefault="003039F0" w:rsidP="00FA3ED4">
            <w:pPr>
              <w:jc w:val="center"/>
              <w:rPr>
                <w:rFonts w:ascii="Andalus" w:hAnsi="Andalus" w:cs="Andalus"/>
                <w:i/>
                <w:noProof/>
                <w:sz w:val="28"/>
                <w:szCs w:val="28"/>
                <w:lang w:eastAsia="de-DE"/>
              </w:rPr>
            </w:pPr>
            <w:r>
              <w:rPr>
                <w:rFonts w:ascii="Andalus" w:hAnsi="Andalus" w:cs="Andalus"/>
                <w:i/>
                <w:noProof/>
                <w:sz w:val="28"/>
                <w:szCs w:val="28"/>
                <w:lang w:eastAsia="de-DE"/>
              </w:rPr>
              <w:t>19</w:t>
            </w:r>
            <w:r w:rsidR="00E05267">
              <w:rPr>
                <w:rFonts w:ascii="Andalus" w:hAnsi="Andalus" w:cs="Andalus"/>
                <w:i/>
                <w:noProof/>
                <w:sz w:val="28"/>
                <w:szCs w:val="28"/>
                <w:lang w:eastAsia="de-DE"/>
              </w:rPr>
              <w:t>,</w:t>
            </w:r>
            <w:r>
              <w:rPr>
                <w:rFonts w:ascii="Andalus" w:hAnsi="Andalus" w:cs="Andalus"/>
                <w:i/>
                <w:noProof/>
                <w:sz w:val="28"/>
                <w:szCs w:val="28"/>
                <w:lang w:eastAsia="de-DE"/>
              </w:rPr>
              <w:t>2</w:t>
            </w:r>
            <w:r w:rsidR="003070EB">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FA3ED4">
              <w:rPr>
                <w:rFonts w:ascii="Andalus" w:hAnsi="Andalus" w:cs="Andalus"/>
                <w:i/>
                <w:noProof/>
                <w:sz w:val="28"/>
                <w:szCs w:val="28"/>
                <w:lang w:eastAsia="de-DE"/>
              </w:rPr>
              <w:t>€</w:t>
            </w:r>
          </w:p>
        </w:tc>
        <w:tc>
          <w:tcPr>
            <w:tcW w:w="3071" w:type="dxa"/>
          </w:tcPr>
          <w:p w:rsidR="00FA3ED4" w:rsidRPr="00EA7D75" w:rsidRDefault="00E05267" w:rsidP="00FA3ED4">
            <w:pPr>
              <w:jc w:val="center"/>
              <w:rPr>
                <w:rFonts w:ascii="Andalus" w:hAnsi="Andalus" w:cs="Andalus"/>
                <w:i/>
                <w:noProof/>
                <w:sz w:val="28"/>
                <w:szCs w:val="28"/>
                <w:vertAlign w:val="superscript"/>
                <w:lang w:eastAsia="de-DE"/>
              </w:rPr>
            </w:pPr>
            <w:r>
              <w:rPr>
                <w:rFonts w:ascii="Andalus" w:hAnsi="Andalus" w:cs="Andalus"/>
                <w:i/>
                <w:noProof/>
                <w:sz w:val="28"/>
                <w:szCs w:val="28"/>
                <w:lang w:eastAsia="de-DE"/>
              </w:rPr>
              <w:t>9</w:t>
            </w:r>
            <w:r w:rsidR="003070EB">
              <w:rPr>
                <w:rFonts w:ascii="Andalus" w:hAnsi="Andalus" w:cs="Andalus"/>
                <w:i/>
                <w:noProof/>
                <w:sz w:val="28"/>
                <w:szCs w:val="28"/>
                <w:lang w:eastAsia="de-DE"/>
              </w:rPr>
              <w:t>,00</w:t>
            </w:r>
            <w:r w:rsidR="00AC1B1F">
              <w:rPr>
                <w:rFonts w:ascii="Andalus" w:hAnsi="Andalus" w:cs="Andalus"/>
                <w:i/>
                <w:noProof/>
                <w:sz w:val="28"/>
                <w:szCs w:val="28"/>
                <w:lang w:eastAsia="de-DE"/>
              </w:rPr>
              <w:t xml:space="preserve"> </w:t>
            </w:r>
            <w:r w:rsidR="00FA3ED4">
              <w:rPr>
                <w:rFonts w:ascii="Andalus" w:hAnsi="Andalus" w:cs="Andalus"/>
                <w:i/>
                <w:noProof/>
                <w:sz w:val="28"/>
                <w:szCs w:val="28"/>
                <w:lang w:eastAsia="de-DE"/>
              </w:rPr>
              <w:t>€</w:t>
            </w:r>
            <w:r w:rsidR="00EA7D75" w:rsidRPr="002A4144">
              <w:rPr>
                <w:rFonts w:ascii="Andalus" w:hAnsi="Andalus" w:cs="Andalus"/>
                <w:i/>
                <w:noProof/>
                <w:color w:val="C00000"/>
                <w:sz w:val="28"/>
                <w:szCs w:val="28"/>
                <w:vertAlign w:val="superscript"/>
                <w:lang w:eastAsia="de-DE"/>
              </w:rPr>
              <w:t>xxx</w:t>
            </w:r>
          </w:p>
        </w:tc>
      </w:tr>
    </w:tbl>
    <w:p w:rsidR="009D5259" w:rsidRPr="00666D58" w:rsidRDefault="009D5259" w:rsidP="002E2BCA">
      <w:pPr>
        <w:rPr>
          <w:rFonts w:ascii="Andalus" w:hAnsi="Andalus" w:cs="Andalus"/>
          <w:i/>
          <w:noProof/>
          <w:sz w:val="28"/>
          <w:szCs w:val="28"/>
          <w:lang w:eastAsia="de-DE"/>
        </w:rPr>
      </w:pPr>
    </w:p>
    <w:p w:rsidR="008A5F1D" w:rsidRDefault="003039F0" w:rsidP="00D8416F">
      <w:pPr>
        <w:spacing w:line="240" w:lineRule="auto"/>
        <w:rPr>
          <w:rFonts w:ascii="Andalus" w:hAnsi="Andalus" w:cs="Andalus"/>
          <w:b/>
          <w:i/>
          <w:noProof/>
          <w:sz w:val="28"/>
          <w:szCs w:val="28"/>
          <w:lang w:eastAsia="de-DE"/>
        </w:rPr>
      </w:pPr>
      <w:r>
        <w:rPr>
          <w:rFonts w:ascii="Andalus" w:hAnsi="Andalus" w:cs="Andalus"/>
          <w:b/>
          <w:i/>
          <w:noProof/>
          <w:sz w:val="28"/>
          <w:szCs w:val="28"/>
          <w:lang w:eastAsia="de-DE"/>
        </w:rPr>
        <w:t>Nardelli Appassimento</w:t>
      </w:r>
      <w:r w:rsidR="00A170A1">
        <w:rPr>
          <w:rFonts w:ascii="Andalus" w:hAnsi="Andalus" w:cs="Andalus"/>
          <w:b/>
          <w:i/>
          <w:noProof/>
          <w:sz w:val="28"/>
          <w:szCs w:val="28"/>
          <w:lang w:eastAsia="de-DE"/>
        </w:rPr>
        <w:t>, Weingut Nardelli,</w:t>
      </w:r>
      <w:r>
        <w:rPr>
          <w:rFonts w:ascii="Andalus" w:hAnsi="Andalus" w:cs="Andalus"/>
          <w:b/>
          <w:i/>
          <w:noProof/>
          <w:sz w:val="28"/>
          <w:szCs w:val="28"/>
          <w:lang w:eastAsia="de-DE"/>
        </w:rPr>
        <w:t xml:space="preserve"> Italien</w:t>
      </w:r>
    </w:p>
    <w:p w:rsidR="007A504A" w:rsidRPr="007A504A" w:rsidRDefault="007A504A" w:rsidP="007A504A">
      <w:pPr>
        <w:spacing w:line="240" w:lineRule="auto"/>
        <w:jc w:val="both"/>
        <w:rPr>
          <w:rFonts w:ascii="Andalus" w:hAnsi="Andalus" w:cs="Andalus"/>
          <w:i/>
          <w:noProof/>
          <w:sz w:val="28"/>
          <w:szCs w:val="28"/>
          <w:lang w:eastAsia="de-DE"/>
        </w:rPr>
      </w:pPr>
      <w:r>
        <w:rPr>
          <w:rFonts w:ascii="Andalus" w:hAnsi="Andalus" w:cs="Andalus"/>
          <w:i/>
          <w:noProof/>
          <w:sz w:val="28"/>
          <w:szCs w:val="28"/>
          <w:lang w:eastAsia="de-DE"/>
        </w:rPr>
        <w:t xml:space="preserve">Rotweincuevée aus </w:t>
      </w:r>
      <w:r w:rsidRPr="007A504A">
        <w:rPr>
          <w:rFonts w:ascii="Andalus" w:hAnsi="Andalus" w:cs="Andalus"/>
          <w:i/>
          <w:noProof/>
          <w:sz w:val="28"/>
          <w:szCs w:val="28"/>
          <w:lang w:eastAsia="de-DE"/>
        </w:rPr>
        <w:t>Primitivo, Negroamaro, Nero di Troja</w:t>
      </w:r>
      <w:r>
        <w:rPr>
          <w:rFonts w:ascii="Andalus" w:hAnsi="Andalus" w:cs="Andalus"/>
          <w:i/>
          <w:noProof/>
          <w:sz w:val="28"/>
          <w:szCs w:val="28"/>
          <w:lang w:eastAsia="de-DE"/>
        </w:rPr>
        <w:t xml:space="preserve"> und </w:t>
      </w:r>
      <w:r w:rsidRPr="007A504A">
        <w:rPr>
          <w:rFonts w:ascii="Andalus" w:hAnsi="Andalus" w:cs="Andalus"/>
          <w:i/>
          <w:noProof/>
          <w:sz w:val="28"/>
          <w:szCs w:val="28"/>
          <w:lang w:eastAsia="de-DE"/>
        </w:rPr>
        <w:t>Merlot</w:t>
      </w:r>
      <w:r>
        <w:rPr>
          <w:rFonts w:ascii="Andalus" w:hAnsi="Andalus" w:cs="Andalus"/>
          <w:i/>
          <w:noProof/>
          <w:sz w:val="28"/>
          <w:szCs w:val="28"/>
          <w:lang w:eastAsia="de-DE"/>
        </w:rPr>
        <w:t>.</w:t>
      </w:r>
    </w:p>
    <w:p w:rsidR="00D8416F" w:rsidRDefault="007A504A" w:rsidP="007A504A">
      <w:pPr>
        <w:spacing w:line="240" w:lineRule="auto"/>
        <w:jc w:val="both"/>
        <w:rPr>
          <w:rFonts w:ascii="Andalus" w:hAnsi="Andalus" w:cs="Andalus"/>
          <w:i/>
          <w:noProof/>
          <w:sz w:val="28"/>
          <w:szCs w:val="28"/>
          <w:lang w:eastAsia="de-DE"/>
        </w:rPr>
      </w:pPr>
      <w:r w:rsidRPr="007A504A">
        <w:rPr>
          <w:rFonts w:ascii="Andalus" w:hAnsi="Andalus" w:cs="Andalus"/>
          <w:i/>
          <w:noProof/>
          <w:sz w:val="28"/>
          <w:szCs w:val="28"/>
          <w:lang w:eastAsia="de-DE"/>
        </w:rPr>
        <w:t>Ungeheuer intensive, dichte Aromatik nach reifen Pflaumen, Schwarzkirschen, Johannisbeeren mit feinen Gewürznoten, Kakao, Vanille. Viel Volumen, Würze und Kraft am Gaumen, aber immer elegant mit fein ausgewogener Säure- und Tanninstruktur.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53372D" w:rsidTr="00DA1058">
        <w:tc>
          <w:tcPr>
            <w:tcW w:w="3070" w:type="dxa"/>
          </w:tcPr>
          <w:p w:rsidR="0053372D" w:rsidRDefault="00EE0BDD" w:rsidP="0053372D">
            <w:pPr>
              <w:jc w:val="center"/>
              <w:rPr>
                <w:rFonts w:ascii="Andalus" w:hAnsi="Andalus" w:cs="Andalus"/>
                <w:i/>
                <w:noProof/>
                <w:sz w:val="28"/>
                <w:szCs w:val="28"/>
                <w:lang w:eastAsia="de-DE"/>
              </w:rPr>
            </w:pPr>
            <w:r>
              <w:rPr>
                <w:rFonts w:ascii="Andalus" w:hAnsi="Andalus" w:cs="Andalus"/>
                <w:i/>
                <w:noProof/>
                <w:sz w:val="28"/>
                <w:szCs w:val="28"/>
                <w:lang w:eastAsia="de-DE"/>
              </w:rPr>
              <w:t>5,8</w:t>
            </w:r>
            <w:r w:rsidR="0053372D">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53372D">
              <w:rPr>
                <w:rFonts w:ascii="Andalus" w:hAnsi="Andalus" w:cs="Andalus"/>
                <w:i/>
                <w:noProof/>
                <w:sz w:val="28"/>
                <w:szCs w:val="28"/>
                <w:lang w:eastAsia="de-DE"/>
              </w:rPr>
              <w:t>€</w:t>
            </w:r>
          </w:p>
        </w:tc>
        <w:tc>
          <w:tcPr>
            <w:tcW w:w="3071" w:type="dxa"/>
          </w:tcPr>
          <w:p w:rsidR="0053372D" w:rsidRDefault="00EE0BDD" w:rsidP="0053372D">
            <w:pPr>
              <w:jc w:val="center"/>
              <w:rPr>
                <w:rFonts w:ascii="Andalus" w:hAnsi="Andalus" w:cs="Andalus"/>
                <w:i/>
                <w:noProof/>
                <w:sz w:val="28"/>
                <w:szCs w:val="28"/>
                <w:lang w:eastAsia="de-DE"/>
              </w:rPr>
            </w:pPr>
            <w:r>
              <w:rPr>
                <w:rFonts w:ascii="Andalus" w:hAnsi="Andalus" w:cs="Andalus"/>
                <w:i/>
                <w:noProof/>
                <w:sz w:val="28"/>
                <w:szCs w:val="28"/>
                <w:lang w:eastAsia="de-DE"/>
              </w:rPr>
              <w:t>2</w:t>
            </w:r>
            <w:r w:rsidR="003039F0">
              <w:rPr>
                <w:rFonts w:ascii="Andalus" w:hAnsi="Andalus" w:cs="Andalus"/>
                <w:i/>
                <w:noProof/>
                <w:sz w:val="28"/>
                <w:szCs w:val="28"/>
                <w:lang w:eastAsia="de-DE"/>
              </w:rPr>
              <w:t>1</w:t>
            </w:r>
            <w:r>
              <w:rPr>
                <w:rFonts w:ascii="Andalus" w:hAnsi="Andalus" w:cs="Andalus"/>
                <w:i/>
                <w:noProof/>
                <w:sz w:val="28"/>
                <w:szCs w:val="28"/>
                <w:lang w:eastAsia="de-DE"/>
              </w:rPr>
              <w:t>,5</w:t>
            </w:r>
            <w:r w:rsidR="00A859FE">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53372D">
              <w:rPr>
                <w:rFonts w:ascii="Andalus" w:hAnsi="Andalus" w:cs="Andalus"/>
                <w:i/>
                <w:noProof/>
                <w:sz w:val="28"/>
                <w:szCs w:val="28"/>
                <w:lang w:eastAsia="de-DE"/>
              </w:rPr>
              <w:t>€</w:t>
            </w:r>
          </w:p>
        </w:tc>
        <w:tc>
          <w:tcPr>
            <w:tcW w:w="3071" w:type="dxa"/>
          </w:tcPr>
          <w:p w:rsidR="0053372D" w:rsidRPr="00EA7D75" w:rsidRDefault="008A484F" w:rsidP="00A859FE">
            <w:pPr>
              <w:rPr>
                <w:rFonts w:ascii="Andalus" w:hAnsi="Andalus" w:cs="Andalus"/>
                <w:i/>
                <w:noProof/>
                <w:sz w:val="28"/>
                <w:szCs w:val="28"/>
                <w:vertAlign w:val="superscript"/>
                <w:lang w:eastAsia="de-DE"/>
              </w:rPr>
            </w:pPr>
            <w:r>
              <w:rPr>
                <w:rFonts w:ascii="Andalus" w:hAnsi="Andalus" w:cs="Andalus"/>
                <w:i/>
                <w:noProof/>
                <w:sz w:val="28"/>
                <w:szCs w:val="28"/>
                <w:lang w:eastAsia="de-DE"/>
              </w:rPr>
              <w:t xml:space="preserve">             </w:t>
            </w:r>
            <w:r w:rsidR="00EE0BDD">
              <w:rPr>
                <w:rFonts w:ascii="Andalus" w:hAnsi="Andalus" w:cs="Andalus"/>
                <w:i/>
                <w:noProof/>
                <w:sz w:val="28"/>
                <w:szCs w:val="28"/>
                <w:lang w:eastAsia="de-DE"/>
              </w:rPr>
              <w:t>9,</w:t>
            </w:r>
            <w:r w:rsidR="003039F0">
              <w:rPr>
                <w:rFonts w:ascii="Andalus" w:hAnsi="Andalus" w:cs="Andalus"/>
                <w:i/>
                <w:noProof/>
                <w:sz w:val="28"/>
                <w:szCs w:val="28"/>
                <w:lang w:eastAsia="de-DE"/>
              </w:rPr>
              <w:t>8</w:t>
            </w:r>
            <w:r w:rsidR="00EE0BDD">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53372D">
              <w:rPr>
                <w:rFonts w:ascii="Andalus" w:hAnsi="Andalus" w:cs="Andalus"/>
                <w:i/>
                <w:noProof/>
                <w:sz w:val="28"/>
                <w:szCs w:val="28"/>
                <w:lang w:eastAsia="de-DE"/>
              </w:rPr>
              <w:t>€</w:t>
            </w:r>
            <w:r w:rsidR="00EA7D75" w:rsidRPr="00EA7D75">
              <w:rPr>
                <w:rFonts w:ascii="Andalus" w:hAnsi="Andalus" w:cs="Andalus"/>
                <w:i/>
                <w:noProof/>
                <w:color w:val="C00000"/>
                <w:sz w:val="28"/>
                <w:szCs w:val="28"/>
                <w:vertAlign w:val="superscript"/>
                <w:lang w:eastAsia="de-DE"/>
              </w:rPr>
              <w:t>xxx</w:t>
            </w:r>
          </w:p>
        </w:tc>
      </w:tr>
    </w:tbl>
    <w:p w:rsidR="009D5259" w:rsidRPr="00666D58" w:rsidRDefault="009D5259" w:rsidP="002E2BCA">
      <w:pPr>
        <w:rPr>
          <w:rFonts w:ascii="Andalus" w:hAnsi="Andalus" w:cs="Andalus"/>
          <w:i/>
          <w:noProof/>
          <w:sz w:val="28"/>
          <w:szCs w:val="28"/>
          <w:lang w:eastAsia="de-DE"/>
        </w:rPr>
      </w:pPr>
    </w:p>
    <w:p w:rsidR="00B240CD" w:rsidRDefault="003039F0" w:rsidP="00874EA5">
      <w:pPr>
        <w:spacing w:line="240" w:lineRule="auto"/>
        <w:rPr>
          <w:rFonts w:ascii="Andalus" w:hAnsi="Andalus" w:cs="Andalus"/>
          <w:b/>
          <w:i/>
          <w:noProof/>
          <w:sz w:val="28"/>
          <w:szCs w:val="28"/>
          <w:lang w:val="en-US" w:eastAsia="de-DE"/>
        </w:rPr>
      </w:pPr>
      <w:r>
        <w:rPr>
          <w:rFonts w:ascii="Andalus" w:hAnsi="Andalus" w:cs="Andalus"/>
          <w:b/>
          <w:i/>
          <w:noProof/>
          <w:sz w:val="28"/>
          <w:szCs w:val="28"/>
          <w:lang w:val="en-US" w:eastAsia="de-DE"/>
        </w:rPr>
        <w:t>Cuv</w:t>
      </w:r>
      <w:r w:rsidR="00AF24F5">
        <w:rPr>
          <w:rFonts w:ascii="Andalus" w:hAnsi="Andalus" w:cs="Andalus"/>
          <w:b/>
          <w:i/>
          <w:noProof/>
          <w:sz w:val="28"/>
          <w:szCs w:val="28"/>
          <w:lang w:val="en-US" w:eastAsia="de-DE"/>
        </w:rPr>
        <w:t>é</w:t>
      </w:r>
      <w:r>
        <w:rPr>
          <w:rFonts w:ascii="Andalus" w:hAnsi="Andalus" w:cs="Andalus"/>
          <w:b/>
          <w:i/>
          <w:noProof/>
          <w:sz w:val="28"/>
          <w:szCs w:val="28"/>
          <w:lang w:val="en-US" w:eastAsia="de-DE"/>
        </w:rPr>
        <w:t xml:space="preserve">e Julius, </w:t>
      </w:r>
      <w:r w:rsidR="00C57D78">
        <w:rPr>
          <w:rFonts w:ascii="Andalus" w:hAnsi="Andalus" w:cs="Andalus"/>
          <w:b/>
          <w:i/>
          <w:noProof/>
          <w:sz w:val="28"/>
          <w:szCs w:val="28"/>
          <w:lang w:val="en-US" w:eastAsia="de-DE"/>
        </w:rPr>
        <w:t xml:space="preserve">Weingut </w:t>
      </w:r>
      <w:r>
        <w:rPr>
          <w:rFonts w:ascii="Andalus" w:hAnsi="Andalus" w:cs="Andalus"/>
          <w:b/>
          <w:i/>
          <w:noProof/>
          <w:sz w:val="28"/>
          <w:szCs w:val="28"/>
          <w:lang w:val="en-US" w:eastAsia="de-DE"/>
        </w:rPr>
        <w:t>Langenbach</w:t>
      </w:r>
      <w:r w:rsidR="00AF24F5">
        <w:rPr>
          <w:rFonts w:ascii="Andalus" w:hAnsi="Andalus" w:cs="Andalus"/>
          <w:b/>
          <w:i/>
          <w:noProof/>
          <w:sz w:val="28"/>
          <w:szCs w:val="28"/>
          <w:lang w:val="en-US" w:eastAsia="de-DE"/>
        </w:rPr>
        <w:t>, Pfalz</w:t>
      </w:r>
    </w:p>
    <w:p w:rsidR="00874EA5" w:rsidRPr="0078258B" w:rsidRDefault="00614136" w:rsidP="00507AC8">
      <w:pPr>
        <w:spacing w:line="240" w:lineRule="auto"/>
        <w:jc w:val="both"/>
        <w:rPr>
          <w:rFonts w:ascii="Andalus" w:hAnsi="Andalus" w:cs="Andalus"/>
          <w:i/>
          <w:noProof/>
          <w:sz w:val="28"/>
          <w:szCs w:val="28"/>
          <w:lang w:eastAsia="de-DE"/>
        </w:rPr>
      </w:pPr>
      <w:r w:rsidRPr="00507AC8">
        <w:rPr>
          <w:rFonts w:ascii="Andalus" w:hAnsi="Andalus" w:cs="Andalus"/>
          <w:i/>
          <w:noProof/>
          <w:sz w:val="28"/>
          <w:szCs w:val="28"/>
          <w:lang w:val="en-US" w:eastAsia="de-DE"/>
        </w:rPr>
        <w:t>Wünderschöne Rotweincuevée aus</w:t>
      </w:r>
      <w:r w:rsidR="007C3A2D" w:rsidRPr="00507AC8">
        <w:rPr>
          <w:rFonts w:ascii="Andalus" w:hAnsi="Andalus" w:cs="Andalus"/>
          <w:i/>
          <w:noProof/>
          <w:sz w:val="28"/>
          <w:szCs w:val="28"/>
          <w:lang w:val="en-US" w:eastAsia="de-DE"/>
        </w:rPr>
        <w:t xml:space="preserve"> Dunkelfelder, Cabernet Dorsa, Cabernet Dorsi und Acolon. </w:t>
      </w:r>
      <w:r w:rsidR="007C3A2D" w:rsidRPr="00507AC8">
        <w:rPr>
          <w:rFonts w:ascii="Andalus" w:hAnsi="Andalus" w:cs="Andalus"/>
          <w:i/>
          <w:noProof/>
          <w:sz w:val="28"/>
          <w:szCs w:val="28"/>
          <w:lang w:eastAsia="de-DE"/>
        </w:rPr>
        <w:t>Mit vollen dunklen Früchten und Gewürzen</w:t>
      </w:r>
      <w:r w:rsidR="0078258B">
        <w:rPr>
          <w:rFonts w:ascii="Andalus" w:hAnsi="Andalus" w:cs="Andalus"/>
          <w:i/>
          <w:noProof/>
          <w:sz w:val="28"/>
          <w:szCs w:val="28"/>
          <w:lang w:eastAsia="de-DE"/>
        </w:rPr>
        <w:t xml:space="preserve"> </w:t>
      </w:r>
      <w:bookmarkStart w:id="0" w:name="_GoBack"/>
      <w:bookmarkEnd w:id="0"/>
      <w:r w:rsidR="007C3A2D" w:rsidRPr="00507AC8">
        <w:rPr>
          <w:rFonts w:ascii="Andalus" w:hAnsi="Andalus" w:cs="Andalus"/>
          <w:i/>
          <w:noProof/>
          <w:sz w:val="28"/>
          <w:szCs w:val="28"/>
          <w:lang w:eastAsia="de-DE"/>
        </w:rPr>
        <w:t>zeigt dieser Rotwein viel Power am Gaumen mit feinster Vanille am Rande. Die seidigen</w:t>
      </w:r>
      <w:r w:rsidR="00A26F20">
        <w:rPr>
          <w:rFonts w:ascii="Andalus" w:hAnsi="Andalus" w:cs="Andalus"/>
          <w:i/>
          <w:noProof/>
          <w:sz w:val="28"/>
          <w:szCs w:val="28"/>
          <w:lang w:eastAsia="de-DE"/>
        </w:rPr>
        <w:t xml:space="preserve"> Tannine </w:t>
      </w:r>
      <w:r w:rsidR="007C3A2D" w:rsidRPr="00507AC8">
        <w:rPr>
          <w:rFonts w:ascii="Andalus" w:hAnsi="Andalus" w:cs="Andalus"/>
          <w:i/>
          <w:noProof/>
          <w:sz w:val="28"/>
          <w:szCs w:val="28"/>
          <w:lang w:eastAsia="de-DE"/>
        </w:rPr>
        <w:t>und die dezente Süße sind vielversprechend. 100% Geschmackserlebnis!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026"/>
        <w:gridCol w:w="3023"/>
      </w:tblGrid>
      <w:tr w:rsidR="00AA245F" w:rsidTr="003F3982">
        <w:tc>
          <w:tcPr>
            <w:tcW w:w="3070" w:type="dxa"/>
          </w:tcPr>
          <w:p w:rsidR="00AA245F" w:rsidRPr="001418D8" w:rsidRDefault="003039F0" w:rsidP="00AA245F">
            <w:pPr>
              <w:jc w:val="center"/>
              <w:rPr>
                <w:rFonts w:ascii="Andalus" w:hAnsi="Andalus" w:cs="Andalus"/>
                <w:i/>
                <w:noProof/>
                <w:sz w:val="28"/>
                <w:szCs w:val="28"/>
                <w:lang w:eastAsia="de-DE"/>
              </w:rPr>
            </w:pPr>
            <w:r>
              <w:rPr>
                <w:rFonts w:ascii="Andalus" w:hAnsi="Andalus" w:cs="Andalus"/>
                <w:i/>
                <w:noProof/>
                <w:sz w:val="28"/>
                <w:szCs w:val="28"/>
                <w:lang w:eastAsia="de-DE"/>
              </w:rPr>
              <w:t>5</w:t>
            </w:r>
            <w:r w:rsidR="009D5B93">
              <w:rPr>
                <w:rFonts w:ascii="Andalus" w:hAnsi="Andalus" w:cs="Andalus"/>
                <w:i/>
                <w:noProof/>
                <w:sz w:val="28"/>
                <w:szCs w:val="28"/>
                <w:lang w:eastAsia="de-DE"/>
              </w:rPr>
              <w:t>,</w:t>
            </w:r>
            <w:r>
              <w:rPr>
                <w:rFonts w:ascii="Andalus" w:hAnsi="Andalus" w:cs="Andalus"/>
                <w:i/>
                <w:noProof/>
                <w:sz w:val="28"/>
                <w:szCs w:val="28"/>
                <w:lang w:eastAsia="de-DE"/>
              </w:rPr>
              <w:t>60</w:t>
            </w:r>
            <w:r w:rsidR="00AC1B1F">
              <w:rPr>
                <w:rFonts w:ascii="Andalus" w:hAnsi="Andalus" w:cs="Andalus"/>
                <w:i/>
                <w:noProof/>
                <w:sz w:val="28"/>
                <w:szCs w:val="28"/>
                <w:lang w:eastAsia="de-DE"/>
              </w:rPr>
              <w:t xml:space="preserve"> </w:t>
            </w:r>
            <w:r w:rsidR="00AA245F" w:rsidRPr="001418D8">
              <w:rPr>
                <w:rFonts w:ascii="Andalus" w:hAnsi="Andalus" w:cs="Andalus"/>
                <w:i/>
                <w:noProof/>
                <w:sz w:val="28"/>
                <w:szCs w:val="28"/>
                <w:lang w:eastAsia="de-DE"/>
              </w:rPr>
              <w:t>€</w:t>
            </w:r>
          </w:p>
        </w:tc>
        <w:tc>
          <w:tcPr>
            <w:tcW w:w="3071" w:type="dxa"/>
          </w:tcPr>
          <w:p w:rsidR="00AA245F" w:rsidRPr="001418D8" w:rsidRDefault="009D5B93" w:rsidP="00AA245F">
            <w:pPr>
              <w:jc w:val="center"/>
              <w:rPr>
                <w:rFonts w:ascii="Andalus" w:hAnsi="Andalus" w:cs="Andalus"/>
                <w:i/>
                <w:noProof/>
                <w:sz w:val="28"/>
                <w:szCs w:val="28"/>
                <w:lang w:eastAsia="de-DE"/>
              </w:rPr>
            </w:pPr>
            <w:r>
              <w:rPr>
                <w:rFonts w:ascii="Andalus" w:hAnsi="Andalus" w:cs="Andalus"/>
                <w:i/>
                <w:noProof/>
                <w:sz w:val="28"/>
                <w:szCs w:val="28"/>
                <w:lang w:eastAsia="de-DE"/>
              </w:rPr>
              <w:t>20,</w:t>
            </w:r>
            <w:r w:rsidR="003039F0">
              <w:rPr>
                <w:rFonts w:ascii="Andalus" w:hAnsi="Andalus" w:cs="Andalus"/>
                <w:i/>
                <w:noProof/>
                <w:sz w:val="28"/>
                <w:szCs w:val="28"/>
                <w:lang w:eastAsia="de-DE"/>
              </w:rPr>
              <w:t>8</w:t>
            </w:r>
            <w:r w:rsidR="00AA245F" w:rsidRPr="001418D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AA245F" w:rsidRPr="001418D8">
              <w:rPr>
                <w:rFonts w:ascii="Andalus" w:hAnsi="Andalus" w:cs="Andalus"/>
                <w:i/>
                <w:noProof/>
                <w:sz w:val="28"/>
                <w:szCs w:val="28"/>
                <w:lang w:eastAsia="de-DE"/>
              </w:rPr>
              <w:t>€</w:t>
            </w:r>
          </w:p>
        </w:tc>
        <w:tc>
          <w:tcPr>
            <w:tcW w:w="3071" w:type="dxa"/>
          </w:tcPr>
          <w:p w:rsidR="00AA245F" w:rsidRPr="001418D8" w:rsidRDefault="009D5B93" w:rsidP="00EA7D75">
            <w:pPr>
              <w:jc w:val="center"/>
              <w:rPr>
                <w:rFonts w:ascii="Andalus" w:hAnsi="Andalus" w:cs="Andalus"/>
                <w:i/>
                <w:noProof/>
                <w:color w:val="C00000"/>
                <w:sz w:val="28"/>
                <w:szCs w:val="28"/>
                <w:vertAlign w:val="superscript"/>
                <w:lang w:eastAsia="de-DE"/>
              </w:rPr>
            </w:pPr>
            <w:r>
              <w:rPr>
                <w:rFonts w:ascii="Andalus" w:hAnsi="Andalus" w:cs="Andalus"/>
                <w:i/>
                <w:noProof/>
                <w:sz w:val="28"/>
                <w:szCs w:val="28"/>
                <w:lang w:eastAsia="de-DE"/>
              </w:rPr>
              <w:t>9,</w:t>
            </w:r>
            <w:r w:rsidR="003039F0">
              <w:rPr>
                <w:rFonts w:ascii="Andalus" w:hAnsi="Andalus" w:cs="Andalus"/>
                <w:i/>
                <w:noProof/>
                <w:sz w:val="28"/>
                <w:szCs w:val="28"/>
                <w:lang w:eastAsia="de-DE"/>
              </w:rPr>
              <w:t>5</w:t>
            </w:r>
            <w:r w:rsidR="00AA245F" w:rsidRPr="001418D8">
              <w:rPr>
                <w:rFonts w:ascii="Andalus" w:hAnsi="Andalus" w:cs="Andalus"/>
                <w:i/>
                <w:noProof/>
                <w:sz w:val="28"/>
                <w:szCs w:val="28"/>
                <w:lang w:eastAsia="de-DE"/>
              </w:rPr>
              <w:t>0</w:t>
            </w:r>
            <w:r w:rsidR="00AC1B1F">
              <w:rPr>
                <w:rFonts w:ascii="Andalus" w:hAnsi="Andalus" w:cs="Andalus"/>
                <w:i/>
                <w:noProof/>
                <w:sz w:val="28"/>
                <w:szCs w:val="28"/>
                <w:lang w:eastAsia="de-DE"/>
              </w:rPr>
              <w:t xml:space="preserve"> </w:t>
            </w:r>
            <w:r w:rsidR="00AA245F" w:rsidRPr="001418D8">
              <w:rPr>
                <w:rFonts w:ascii="Andalus" w:hAnsi="Andalus" w:cs="Andalus"/>
                <w:i/>
                <w:noProof/>
                <w:sz w:val="28"/>
                <w:szCs w:val="28"/>
                <w:lang w:eastAsia="de-DE"/>
              </w:rPr>
              <w:t>€</w:t>
            </w:r>
            <w:r w:rsidR="00EA7D75" w:rsidRPr="001418D8">
              <w:rPr>
                <w:rFonts w:ascii="Andalus" w:hAnsi="Andalus" w:cs="Andalus"/>
                <w:i/>
                <w:noProof/>
                <w:color w:val="C00000"/>
                <w:sz w:val="28"/>
                <w:szCs w:val="28"/>
                <w:vertAlign w:val="superscript"/>
                <w:lang w:eastAsia="de-DE"/>
              </w:rPr>
              <w:t>xxx</w:t>
            </w:r>
          </w:p>
          <w:p w:rsidR="0033190C" w:rsidRPr="001418D8" w:rsidRDefault="0033190C" w:rsidP="00EA7D75">
            <w:pPr>
              <w:jc w:val="center"/>
              <w:rPr>
                <w:rFonts w:ascii="Andalus" w:hAnsi="Andalus" w:cs="Andalus"/>
                <w:i/>
                <w:noProof/>
                <w:color w:val="C00000"/>
                <w:sz w:val="28"/>
                <w:szCs w:val="28"/>
                <w:vertAlign w:val="superscript"/>
                <w:lang w:eastAsia="de-DE"/>
              </w:rPr>
            </w:pPr>
          </w:p>
          <w:p w:rsidR="0033190C" w:rsidRPr="001418D8" w:rsidRDefault="0033190C" w:rsidP="00EA7D75">
            <w:pPr>
              <w:jc w:val="center"/>
              <w:rPr>
                <w:rFonts w:ascii="Andalus" w:hAnsi="Andalus" w:cs="Andalus"/>
                <w:i/>
                <w:noProof/>
                <w:color w:val="C00000"/>
                <w:sz w:val="28"/>
                <w:szCs w:val="28"/>
                <w:vertAlign w:val="superscript"/>
                <w:lang w:eastAsia="de-DE"/>
              </w:rPr>
            </w:pPr>
          </w:p>
          <w:p w:rsidR="0033190C" w:rsidRPr="001418D8" w:rsidRDefault="0033190C" w:rsidP="00EA7D75">
            <w:pPr>
              <w:jc w:val="center"/>
              <w:rPr>
                <w:rFonts w:ascii="Andalus" w:hAnsi="Andalus" w:cs="Andalus"/>
                <w:i/>
                <w:noProof/>
                <w:sz w:val="28"/>
                <w:szCs w:val="28"/>
                <w:vertAlign w:val="superscript"/>
                <w:lang w:eastAsia="de-DE"/>
              </w:rPr>
            </w:pPr>
          </w:p>
        </w:tc>
      </w:tr>
    </w:tbl>
    <w:p w:rsidR="00EA7D75" w:rsidRPr="00EA7D75" w:rsidRDefault="00EA7D75" w:rsidP="002E2BCA">
      <w:pPr>
        <w:rPr>
          <w:rFonts w:ascii="Andalus" w:hAnsi="Andalus" w:cs="Andalus"/>
          <w:i/>
          <w:noProof/>
          <w:color w:val="C00000"/>
          <w:sz w:val="24"/>
          <w:szCs w:val="24"/>
          <w:vertAlign w:val="superscript"/>
          <w:lang w:eastAsia="de-DE"/>
        </w:rPr>
      </w:pPr>
      <w:r w:rsidRPr="00EA7D75">
        <w:rPr>
          <w:rFonts w:ascii="Andalus" w:hAnsi="Andalus" w:cs="Andalus"/>
          <w:i/>
          <w:noProof/>
          <w:color w:val="C00000"/>
          <w:sz w:val="24"/>
          <w:szCs w:val="24"/>
          <w:vertAlign w:val="superscript"/>
          <w:lang w:eastAsia="de-DE"/>
        </w:rPr>
        <w:t xml:space="preserve">xxx </w:t>
      </w:r>
      <w:r w:rsidRPr="00EA7D75">
        <w:rPr>
          <w:rFonts w:ascii="Andalus" w:hAnsi="Andalus" w:cs="Andalus"/>
          <w:color w:val="C00000"/>
          <w:sz w:val="24"/>
          <w:szCs w:val="24"/>
          <w:lang w:eastAsia="de-DE"/>
        </w:rPr>
        <w:t>Außer-Haus Preis pro Flasche</w:t>
      </w:r>
    </w:p>
    <w:sectPr w:rsidR="00EA7D75" w:rsidRPr="00EA7D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0371" w:rsidRDefault="00630371" w:rsidP="0062090C">
      <w:pPr>
        <w:spacing w:line="240" w:lineRule="auto"/>
      </w:pPr>
      <w:r>
        <w:separator/>
      </w:r>
    </w:p>
  </w:endnote>
  <w:endnote w:type="continuationSeparator" w:id="0">
    <w:p w:rsidR="00630371" w:rsidRDefault="00630371" w:rsidP="00620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lackadder ITC">
    <w:altName w:val="Gabriola"/>
    <w:panose1 w:val="04020505051007020D02"/>
    <w:charset w:val="00"/>
    <w:family w:val="decorative"/>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0371" w:rsidRDefault="00630371" w:rsidP="0062090C">
      <w:pPr>
        <w:spacing w:line="240" w:lineRule="auto"/>
      </w:pPr>
      <w:r>
        <w:separator/>
      </w:r>
    </w:p>
  </w:footnote>
  <w:footnote w:type="continuationSeparator" w:id="0">
    <w:p w:rsidR="00630371" w:rsidRDefault="00630371" w:rsidP="006209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1560A1"/>
    <w:multiLevelType w:val="multilevel"/>
    <w:tmpl w:val="8ED6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3D"/>
    <w:rsid w:val="000022C8"/>
    <w:rsid w:val="000040B1"/>
    <w:rsid w:val="00017B17"/>
    <w:rsid w:val="00021AF6"/>
    <w:rsid w:val="00034F92"/>
    <w:rsid w:val="0004416C"/>
    <w:rsid w:val="0004487C"/>
    <w:rsid w:val="00057F5E"/>
    <w:rsid w:val="0008360E"/>
    <w:rsid w:val="00084E0A"/>
    <w:rsid w:val="0008574F"/>
    <w:rsid w:val="000944A1"/>
    <w:rsid w:val="000A1D6A"/>
    <w:rsid w:val="000B06BF"/>
    <w:rsid w:val="000B4FAA"/>
    <w:rsid w:val="000C5E05"/>
    <w:rsid w:val="000E0151"/>
    <w:rsid w:val="000F351B"/>
    <w:rsid w:val="00102663"/>
    <w:rsid w:val="00116627"/>
    <w:rsid w:val="00130CDC"/>
    <w:rsid w:val="00135FCE"/>
    <w:rsid w:val="001418D8"/>
    <w:rsid w:val="00142B22"/>
    <w:rsid w:val="00153A50"/>
    <w:rsid w:val="00164155"/>
    <w:rsid w:val="00182B3A"/>
    <w:rsid w:val="00183B06"/>
    <w:rsid w:val="00195544"/>
    <w:rsid w:val="00195C88"/>
    <w:rsid w:val="001A45C3"/>
    <w:rsid w:val="001A61C8"/>
    <w:rsid w:val="001B0BC5"/>
    <w:rsid w:val="001B72E7"/>
    <w:rsid w:val="001C3323"/>
    <w:rsid w:val="001C5948"/>
    <w:rsid w:val="001F38AA"/>
    <w:rsid w:val="001F4A14"/>
    <w:rsid w:val="002115AD"/>
    <w:rsid w:val="002353D8"/>
    <w:rsid w:val="00235890"/>
    <w:rsid w:val="0023673D"/>
    <w:rsid w:val="00241A39"/>
    <w:rsid w:val="00256406"/>
    <w:rsid w:val="00261008"/>
    <w:rsid w:val="00261B78"/>
    <w:rsid w:val="0026242E"/>
    <w:rsid w:val="0027671C"/>
    <w:rsid w:val="00282500"/>
    <w:rsid w:val="002A2756"/>
    <w:rsid w:val="002A4144"/>
    <w:rsid w:val="002B10D2"/>
    <w:rsid w:val="002C530F"/>
    <w:rsid w:val="002C6FCE"/>
    <w:rsid w:val="002D0EC1"/>
    <w:rsid w:val="002E2BCA"/>
    <w:rsid w:val="002E4EA4"/>
    <w:rsid w:val="00303297"/>
    <w:rsid w:val="003039F0"/>
    <w:rsid w:val="003040A7"/>
    <w:rsid w:val="003070EB"/>
    <w:rsid w:val="00314C42"/>
    <w:rsid w:val="0032231D"/>
    <w:rsid w:val="0032441C"/>
    <w:rsid w:val="0033190C"/>
    <w:rsid w:val="0034515A"/>
    <w:rsid w:val="00351D65"/>
    <w:rsid w:val="0035597D"/>
    <w:rsid w:val="003772CF"/>
    <w:rsid w:val="00395193"/>
    <w:rsid w:val="00397469"/>
    <w:rsid w:val="003B7F60"/>
    <w:rsid w:val="003C753C"/>
    <w:rsid w:val="003D2046"/>
    <w:rsid w:val="003D6C84"/>
    <w:rsid w:val="003E7A1C"/>
    <w:rsid w:val="003F1B5C"/>
    <w:rsid w:val="003F3982"/>
    <w:rsid w:val="00411168"/>
    <w:rsid w:val="00411FD4"/>
    <w:rsid w:val="004177C8"/>
    <w:rsid w:val="00423DBE"/>
    <w:rsid w:val="00424BE3"/>
    <w:rsid w:val="00433161"/>
    <w:rsid w:val="004333F1"/>
    <w:rsid w:val="0044530B"/>
    <w:rsid w:val="004470C2"/>
    <w:rsid w:val="004474B7"/>
    <w:rsid w:val="00452CFE"/>
    <w:rsid w:val="004538AE"/>
    <w:rsid w:val="00467073"/>
    <w:rsid w:val="004745E8"/>
    <w:rsid w:val="00481574"/>
    <w:rsid w:val="00481B09"/>
    <w:rsid w:val="004920E9"/>
    <w:rsid w:val="004A5A5F"/>
    <w:rsid w:val="004B0585"/>
    <w:rsid w:val="004C0485"/>
    <w:rsid w:val="004D0CC6"/>
    <w:rsid w:val="004E2EC9"/>
    <w:rsid w:val="004E574E"/>
    <w:rsid w:val="004E72F4"/>
    <w:rsid w:val="004F52EF"/>
    <w:rsid w:val="00500F2B"/>
    <w:rsid w:val="0050242F"/>
    <w:rsid w:val="00503071"/>
    <w:rsid w:val="00503074"/>
    <w:rsid w:val="00504E11"/>
    <w:rsid w:val="00507AC8"/>
    <w:rsid w:val="00513675"/>
    <w:rsid w:val="0052165F"/>
    <w:rsid w:val="0052228A"/>
    <w:rsid w:val="00522DB5"/>
    <w:rsid w:val="0053372D"/>
    <w:rsid w:val="00534A2A"/>
    <w:rsid w:val="00536478"/>
    <w:rsid w:val="0054049F"/>
    <w:rsid w:val="0056583A"/>
    <w:rsid w:val="00577480"/>
    <w:rsid w:val="00581A55"/>
    <w:rsid w:val="00583F33"/>
    <w:rsid w:val="005949AD"/>
    <w:rsid w:val="005C6D70"/>
    <w:rsid w:val="005D4628"/>
    <w:rsid w:val="005D60D6"/>
    <w:rsid w:val="005E25FA"/>
    <w:rsid w:val="005F1CED"/>
    <w:rsid w:val="0060133F"/>
    <w:rsid w:val="006069C1"/>
    <w:rsid w:val="00614136"/>
    <w:rsid w:val="00616579"/>
    <w:rsid w:val="006176A4"/>
    <w:rsid w:val="006206E0"/>
    <w:rsid w:val="0062090C"/>
    <w:rsid w:val="00624BBC"/>
    <w:rsid w:val="00630371"/>
    <w:rsid w:val="00630BFA"/>
    <w:rsid w:val="00642F6B"/>
    <w:rsid w:val="006449A3"/>
    <w:rsid w:val="00645FAA"/>
    <w:rsid w:val="00647ACE"/>
    <w:rsid w:val="00666D58"/>
    <w:rsid w:val="00676C7F"/>
    <w:rsid w:val="006A6F72"/>
    <w:rsid w:val="006B4515"/>
    <w:rsid w:val="006B4DF7"/>
    <w:rsid w:val="006B4E60"/>
    <w:rsid w:val="006B7818"/>
    <w:rsid w:val="006C412D"/>
    <w:rsid w:val="006E4361"/>
    <w:rsid w:val="006F0599"/>
    <w:rsid w:val="006F3882"/>
    <w:rsid w:val="006F7B73"/>
    <w:rsid w:val="00714441"/>
    <w:rsid w:val="00717F7F"/>
    <w:rsid w:val="00722674"/>
    <w:rsid w:val="00723D1C"/>
    <w:rsid w:val="00732EA8"/>
    <w:rsid w:val="00767B08"/>
    <w:rsid w:val="0078258B"/>
    <w:rsid w:val="00782F55"/>
    <w:rsid w:val="00787B09"/>
    <w:rsid w:val="007975F2"/>
    <w:rsid w:val="007A504A"/>
    <w:rsid w:val="007B2C9C"/>
    <w:rsid w:val="007C3A2D"/>
    <w:rsid w:val="007C5138"/>
    <w:rsid w:val="007D6C3A"/>
    <w:rsid w:val="007D6CAE"/>
    <w:rsid w:val="007F0F35"/>
    <w:rsid w:val="00804B6F"/>
    <w:rsid w:val="00804D2E"/>
    <w:rsid w:val="008204E1"/>
    <w:rsid w:val="00834485"/>
    <w:rsid w:val="00836E6C"/>
    <w:rsid w:val="00845158"/>
    <w:rsid w:val="00856691"/>
    <w:rsid w:val="00860613"/>
    <w:rsid w:val="00874151"/>
    <w:rsid w:val="00874EA5"/>
    <w:rsid w:val="008813E9"/>
    <w:rsid w:val="008937D5"/>
    <w:rsid w:val="008A484F"/>
    <w:rsid w:val="008A5F1D"/>
    <w:rsid w:val="008B1AFB"/>
    <w:rsid w:val="008B6859"/>
    <w:rsid w:val="008C15F6"/>
    <w:rsid w:val="008D329D"/>
    <w:rsid w:val="008E2DB7"/>
    <w:rsid w:val="008E5074"/>
    <w:rsid w:val="008F2B7F"/>
    <w:rsid w:val="008F5B19"/>
    <w:rsid w:val="00904260"/>
    <w:rsid w:val="00922CE4"/>
    <w:rsid w:val="00923CFC"/>
    <w:rsid w:val="00927BE7"/>
    <w:rsid w:val="00951A1C"/>
    <w:rsid w:val="009608D9"/>
    <w:rsid w:val="00965B03"/>
    <w:rsid w:val="00966F23"/>
    <w:rsid w:val="009816DB"/>
    <w:rsid w:val="00985552"/>
    <w:rsid w:val="00992504"/>
    <w:rsid w:val="009A088E"/>
    <w:rsid w:val="009A37B2"/>
    <w:rsid w:val="009A3C30"/>
    <w:rsid w:val="009D0511"/>
    <w:rsid w:val="009D5259"/>
    <w:rsid w:val="009D539A"/>
    <w:rsid w:val="009D5B93"/>
    <w:rsid w:val="009E0699"/>
    <w:rsid w:val="00A00469"/>
    <w:rsid w:val="00A027EF"/>
    <w:rsid w:val="00A06EE8"/>
    <w:rsid w:val="00A14005"/>
    <w:rsid w:val="00A15EA2"/>
    <w:rsid w:val="00A170A1"/>
    <w:rsid w:val="00A26F20"/>
    <w:rsid w:val="00A32673"/>
    <w:rsid w:val="00A32CB0"/>
    <w:rsid w:val="00A667A0"/>
    <w:rsid w:val="00A710F8"/>
    <w:rsid w:val="00A7745E"/>
    <w:rsid w:val="00A859FE"/>
    <w:rsid w:val="00A952FD"/>
    <w:rsid w:val="00AA245F"/>
    <w:rsid w:val="00AB5C81"/>
    <w:rsid w:val="00AC1B1F"/>
    <w:rsid w:val="00AD13A8"/>
    <w:rsid w:val="00AE44FE"/>
    <w:rsid w:val="00AE7C1F"/>
    <w:rsid w:val="00AF24F5"/>
    <w:rsid w:val="00AF3119"/>
    <w:rsid w:val="00AF3405"/>
    <w:rsid w:val="00AF54BD"/>
    <w:rsid w:val="00B1010F"/>
    <w:rsid w:val="00B20FCE"/>
    <w:rsid w:val="00B221BB"/>
    <w:rsid w:val="00B240CD"/>
    <w:rsid w:val="00B2522F"/>
    <w:rsid w:val="00B36D69"/>
    <w:rsid w:val="00B44492"/>
    <w:rsid w:val="00B472E1"/>
    <w:rsid w:val="00B50E25"/>
    <w:rsid w:val="00B54B82"/>
    <w:rsid w:val="00B611CD"/>
    <w:rsid w:val="00B80043"/>
    <w:rsid w:val="00BE231B"/>
    <w:rsid w:val="00C01C8F"/>
    <w:rsid w:val="00C03D9F"/>
    <w:rsid w:val="00C4691C"/>
    <w:rsid w:val="00C56A49"/>
    <w:rsid w:val="00C57D78"/>
    <w:rsid w:val="00CA1C7B"/>
    <w:rsid w:val="00CA1D04"/>
    <w:rsid w:val="00CB0446"/>
    <w:rsid w:val="00CD18EE"/>
    <w:rsid w:val="00CD5CFA"/>
    <w:rsid w:val="00CE4625"/>
    <w:rsid w:val="00CF1FE0"/>
    <w:rsid w:val="00CF5A9A"/>
    <w:rsid w:val="00CF64FA"/>
    <w:rsid w:val="00D04687"/>
    <w:rsid w:val="00D056EA"/>
    <w:rsid w:val="00D16785"/>
    <w:rsid w:val="00D25A75"/>
    <w:rsid w:val="00D374C7"/>
    <w:rsid w:val="00D72876"/>
    <w:rsid w:val="00D738AE"/>
    <w:rsid w:val="00D8416F"/>
    <w:rsid w:val="00DA1058"/>
    <w:rsid w:val="00DA4B5C"/>
    <w:rsid w:val="00DB76F2"/>
    <w:rsid w:val="00DD2BAD"/>
    <w:rsid w:val="00DD5EF6"/>
    <w:rsid w:val="00DF3EA4"/>
    <w:rsid w:val="00DF718D"/>
    <w:rsid w:val="00E05267"/>
    <w:rsid w:val="00E13D69"/>
    <w:rsid w:val="00E158F9"/>
    <w:rsid w:val="00E2359E"/>
    <w:rsid w:val="00E31A64"/>
    <w:rsid w:val="00E33381"/>
    <w:rsid w:val="00E42B7D"/>
    <w:rsid w:val="00E57A26"/>
    <w:rsid w:val="00E76973"/>
    <w:rsid w:val="00E8451C"/>
    <w:rsid w:val="00E873B6"/>
    <w:rsid w:val="00E87DE2"/>
    <w:rsid w:val="00E960D1"/>
    <w:rsid w:val="00EA1948"/>
    <w:rsid w:val="00EA7D75"/>
    <w:rsid w:val="00EB06B2"/>
    <w:rsid w:val="00ED1513"/>
    <w:rsid w:val="00ED69EF"/>
    <w:rsid w:val="00EE0A6D"/>
    <w:rsid w:val="00EE0BDD"/>
    <w:rsid w:val="00EE619C"/>
    <w:rsid w:val="00EE6B5E"/>
    <w:rsid w:val="00EF74B3"/>
    <w:rsid w:val="00F14E81"/>
    <w:rsid w:val="00F47BEF"/>
    <w:rsid w:val="00F6621F"/>
    <w:rsid w:val="00F73CA5"/>
    <w:rsid w:val="00F80318"/>
    <w:rsid w:val="00F80BB4"/>
    <w:rsid w:val="00F94258"/>
    <w:rsid w:val="00FA39D6"/>
    <w:rsid w:val="00FA3ED4"/>
    <w:rsid w:val="00FE0FD6"/>
    <w:rsid w:val="00FE74B8"/>
    <w:rsid w:val="00FF26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9A9F"/>
  <w15:docId w15:val="{D551C9B1-09B6-4FD7-B246-3F284C04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3673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3673D"/>
    <w:rPr>
      <w:rFonts w:ascii="Tahoma" w:hAnsi="Tahoma" w:cs="Tahoma"/>
      <w:sz w:val="16"/>
      <w:szCs w:val="16"/>
    </w:rPr>
  </w:style>
  <w:style w:type="table" w:styleId="Tabellenraster">
    <w:name w:val="Table Grid"/>
    <w:basedOn w:val="NormaleTabelle"/>
    <w:uiPriority w:val="59"/>
    <w:rsid w:val="008F5B1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62090C"/>
    <w:pPr>
      <w:spacing w:line="240" w:lineRule="auto"/>
    </w:pPr>
    <w:rPr>
      <w:sz w:val="20"/>
      <w:szCs w:val="20"/>
    </w:rPr>
  </w:style>
  <w:style w:type="character" w:customStyle="1" w:styleId="FunotentextZchn">
    <w:name w:val="Fußnotentext Zchn"/>
    <w:basedOn w:val="Absatz-Standardschriftart"/>
    <w:link w:val="Funotentext"/>
    <w:uiPriority w:val="99"/>
    <w:semiHidden/>
    <w:rsid w:val="0062090C"/>
    <w:rPr>
      <w:sz w:val="20"/>
      <w:szCs w:val="20"/>
    </w:rPr>
  </w:style>
  <w:style w:type="character" w:styleId="Funotenzeichen">
    <w:name w:val="footnote reference"/>
    <w:basedOn w:val="Absatz-Standardschriftart"/>
    <w:uiPriority w:val="99"/>
    <w:semiHidden/>
    <w:unhideWhenUsed/>
    <w:rsid w:val="0062090C"/>
    <w:rPr>
      <w:vertAlign w:val="superscript"/>
    </w:rPr>
  </w:style>
  <w:style w:type="paragraph" w:styleId="Endnotentext">
    <w:name w:val="endnote text"/>
    <w:basedOn w:val="Standard"/>
    <w:link w:val="EndnotentextZchn"/>
    <w:uiPriority w:val="99"/>
    <w:semiHidden/>
    <w:unhideWhenUsed/>
    <w:rsid w:val="00FF26E1"/>
    <w:pPr>
      <w:spacing w:line="240" w:lineRule="auto"/>
    </w:pPr>
    <w:rPr>
      <w:sz w:val="20"/>
      <w:szCs w:val="20"/>
    </w:rPr>
  </w:style>
  <w:style w:type="character" w:customStyle="1" w:styleId="EndnotentextZchn">
    <w:name w:val="Endnotentext Zchn"/>
    <w:basedOn w:val="Absatz-Standardschriftart"/>
    <w:link w:val="Endnotentext"/>
    <w:uiPriority w:val="99"/>
    <w:semiHidden/>
    <w:rsid w:val="00FF26E1"/>
    <w:rPr>
      <w:sz w:val="20"/>
      <w:szCs w:val="20"/>
    </w:rPr>
  </w:style>
  <w:style w:type="character" w:styleId="Endnotenzeichen">
    <w:name w:val="endnote reference"/>
    <w:basedOn w:val="Absatz-Standardschriftart"/>
    <w:uiPriority w:val="99"/>
    <w:semiHidden/>
    <w:unhideWhenUsed/>
    <w:rsid w:val="00FF26E1"/>
    <w:rPr>
      <w:vertAlign w:val="superscript"/>
    </w:rPr>
  </w:style>
  <w:style w:type="paragraph" w:styleId="Kopfzeile">
    <w:name w:val="header"/>
    <w:basedOn w:val="Standard"/>
    <w:link w:val="KopfzeileZchn"/>
    <w:uiPriority w:val="99"/>
    <w:unhideWhenUsed/>
    <w:rsid w:val="00C4691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4691C"/>
  </w:style>
  <w:style w:type="paragraph" w:styleId="Fuzeile">
    <w:name w:val="footer"/>
    <w:basedOn w:val="Standard"/>
    <w:link w:val="FuzeileZchn"/>
    <w:uiPriority w:val="99"/>
    <w:unhideWhenUsed/>
    <w:rsid w:val="00C4691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4691C"/>
  </w:style>
  <w:style w:type="character" w:styleId="Hyperlink">
    <w:name w:val="Hyperlink"/>
    <w:basedOn w:val="Absatz-Standardschriftart"/>
    <w:uiPriority w:val="99"/>
    <w:unhideWhenUsed/>
    <w:rsid w:val="00CB0446"/>
    <w:rPr>
      <w:color w:val="0000FF" w:themeColor="hyperlink"/>
      <w:u w:val="single"/>
    </w:rPr>
  </w:style>
  <w:style w:type="paragraph" w:styleId="StandardWeb">
    <w:name w:val="Normal (Web)"/>
    <w:basedOn w:val="Standard"/>
    <w:uiPriority w:val="99"/>
    <w:semiHidden/>
    <w:unhideWhenUsed/>
    <w:rsid w:val="007D6C3A"/>
    <w:rPr>
      <w:rFonts w:ascii="Times New Roman" w:hAnsi="Times New Roman" w:cs="Times New Roman"/>
      <w:sz w:val="24"/>
      <w:szCs w:val="24"/>
    </w:rPr>
  </w:style>
  <w:style w:type="character" w:styleId="NichtaufgelsteErwhnung">
    <w:name w:val="Unresolved Mention"/>
    <w:basedOn w:val="Absatz-Standardschriftart"/>
    <w:uiPriority w:val="99"/>
    <w:semiHidden/>
    <w:unhideWhenUsed/>
    <w:rsid w:val="007C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9174">
      <w:bodyDiv w:val="1"/>
      <w:marLeft w:val="0"/>
      <w:marRight w:val="0"/>
      <w:marTop w:val="0"/>
      <w:marBottom w:val="0"/>
      <w:divBdr>
        <w:top w:val="none" w:sz="0" w:space="0" w:color="auto"/>
        <w:left w:val="none" w:sz="0" w:space="0" w:color="auto"/>
        <w:bottom w:val="none" w:sz="0" w:space="0" w:color="auto"/>
        <w:right w:val="none" w:sz="0" w:space="0" w:color="auto"/>
      </w:divBdr>
    </w:div>
    <w:div w:id="516041843">
      <w:bodyDiv w:val="1"/>
      <w:marLeft w:val="0"/>
      <w:marRight w:val="0"/>
      <w:marTop w:val="0"/>
      <w:marBottom w:val="0"/>
      <w:divBdr>
        <w:top w:val="none" w:sz="0" w:space="0" w:color="auto"/>
        <w:left w:val="none" w:sz="0" w:space="0" w:color="auto"/>
        <w:bottom w:val="none" w:sz="0" w:space="0" w:color="auto"/>
        <w:right w:val="none" w:sz="0" w:space="0" w:color="auto"/>
      </w:divBdr>
    </w:div>
    <w:div w:id="944727636">
      <w:bodyDiv w:val="1"/>
      <w:marLeft w:val="0"/>
      <w:marRight w:val="0"/>
      <w:marTop w:val="0"/>
      <w:marBottom w:val="0"/>
      <w:divBdr>
        <w:top w:val="none" w:sz="0" w:space="0" w:color="auto"/>
        <w:left w:val="none" w:sz="0" w:space="0" w:color="auto"/>
        <w:bottom w:val="none" w:sz="0" w:space="0" w:color="auto"/>
        <w:right w:val="none" w:sz="0" w:space="0" w:color="auto"/>
      </w:divBdr>
    </w:div>
    <w:div w:id="1569219251">
      <w:bodyDiv w:val="1"/>
      <w:marLeft w:val="0"/>
      <w:marRight w:val="0"/>
      <w:marTop w:val="0"/>
      <w:marBottom w:val="0"/>
      <w:divBdr>
        <w:top w:val="none" w:sz="0" w:space="0" w:color="auto"/>
        <w:left w:val="none" w:sz="0" w:space="0" w:color="auto"/>
        <w:bottom w:val="none" w:sz="0" w:space="0" w:color="auto"/>
        <w:right w:val="none" w:sz="0" w:space="0" w:color="auto"/>
      </w:divBdr>
    </w:div>
    <w:div w:id="1685477562">
      <w:bodyDiv w:val="1"/>
      <w:marLeft w:val="0"/>
      <w:marRight w:val="0"/>
      <w:marTop w:val="0"/>
      <w:marBottom w:val="0"/>
      <w:divBdr>
        <w:top w:val="none" w:sz="0" w:space="0" w:color="auto"/>
        <w:left w:val="none" w:sz="0" w:space="0" w:color="auto"/>
        <w:bottom w:val="none" w:sz="0" w:space="0" w:color="auto"/>
        <w:right w:val="none" w:sz="0" w:space="0" w:color="auto"/>
      </w:divBdr>
    </w:div>
    <w:div w:id="1937983830">
      <w:bodyDiv w:val="1"/>
      <w:marLeft w:val="0"/>
      <w:marRight w:val="0"/>
      <w:marTop w:val="0"/>
      <w:marBottom w:val="0"/>
      <w:divBdr>
        <w:top w:val="none" w:sz="0" w:space="0" w:color="auto"/>
        <w:left w:val="none" w:sz="0" w:space="0" w:color="auto"/>
        <w:bottom w:val="none" w:sz="0" w:space="0" w:color="auto"/>
        <w:right w:val="none" w:sz="0" w:space="0" w:color="auto"/>
      </w:divBdr>
    </w:div>
    <w:div w:id="19577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9820C-A9ED-44AC-9727-C5093108F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2751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Kühl</dc:creator>
  <cp:lastModifiedBy>sigurd</cp:lastModifiedBy>
  <cp:revision>77</cp:revision>
  <cp:lastPrinted>2018-06-14T17:44:00Z</cp:lastPrinted>
  <dcterms:created xsi:type="dcterms:W3CDTF">2017-11-01T17:10:00Z</dcterms:created>
  <dcterms:modified xsi:type="dcterms:W3CDTF">2018-06-14T18:30:00Z</dcterms:modified>
</cp:coreProperties>
</file>